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1B55" w14:textId="77777777" w:rsidR="00434F83" w:rsidRPr="00E62D79" w:rsidRDefault="00A37182" w:rsidP="00A87C55">
      <w:pPr>
        <w:spacing w:before="100" w:beforeAutospacing="1" w:after="100" w:afterAutospacing="1"/>
        <w:ind w:right="680"/>
        <w:jc w:val="center"/>
        <w:rPr>
          <w:rFonts w:ascii="Times New Roman" w:hAnsi="Times New Roman" w:cs="Times New Roman"/>
          <w:b/>
          <w:sz w:val="24"/>
          <w:szCs w:val="24"/>
        </w:rPr>
      </w:pPr>
      <w:r w:rsidRPr="00E62D79">
        <w:rPr>
          <w:rFonts w:ascii="Times New Roman" w:hAnsi="Times New Roman" w:cs="Times New Roman"/>
          <w:b/>
          <w:sz w:val="24"/>
          <w:szCs w:val="24"/>
        </w:rPr>
        <w:t>Dichiarazioni Integrative al DGUE (Documento di Gara Unico Europeo)</w:t>
      </w:r>
    </w:p>
    <w:p w14:paraId="7CB25DD9" w14:textId="77777777" w:rsidR="00895B3B" w:rsidRPr="00E62D79" w:rsidRDefault="00895B3B" w:rsidP="00A87C55">
      <w:pPr>
        <w:spacing w:before="100" w:beforeAutospacing="1" w:after="100" w:afterAutospacing="1"/>
        <w:jc w:val="both"/>
        <w:rPr>
          <w:rFonts w:ascii="Times New Roman" w:hAnsi="Times New Roman" w:cs="Times New Roman"/>
          <w:i/>
          <w:sz w:val="24"/>
          <w:szCs w:val="24"/>
        </w:rPr>
      </w:pPr>
    </w:p>
    <w:p w14:paraId="61C74318" w14:textId="77777777" w:rsidR="00434F83" w:rsidRPr="00E62D79" w:rsidRDefault="00514096" w:rsidP="00A87C55">
      <w:pPr>
        <w:spacing w:before="100" w:beforeAutospacing="1" w:after="100" w:afterAutospacing="1"/>
        <w:jc w:val="both"/>
        <w:rPr>
          <w:rFonts w:ascii="Times New Roman" w:hAnsi="Times New Roman" w:cs="Times New Roman"/>
          <w:i/>
          <w:sz w:val="24"/>
          <w:szCs w:val="24"/>
        </w:rPr>
      </w:pPr>
      <w:r w:rsidRPr="00E62D79">
        <w:rPr>
          <w:rFonts w:ascii="Times New Roman" w:hAnsi="Times New Roman" w:cs="Times New Roman"/>
          <w:i/>
          <w:sz w:val="24"/>
          <w:szCs w:val="24"/>
        </w:rPr>
        <w:t>(</w:t>
      </w:r>
      <w:r w:rsidR="00A37182" w:rsidRPr="00E62D79">
        <w:rPr>
          <w:rFonts w:ascii="Times New Roman" w:hAnsi="Times New Roman" w:cs="Times New Roman"/>
          <w:i/>
          <w:sz w:val="24"/>
          <w:szCs w:val="24"/>
        </w:rPr>
        <w:t>fino all’aggiornamento del DGUE a</w:t>
      </w:r>
      <w:r w:rsidR="0051216E"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Decreto Legislativo 19 aprile 2017 n. 56, Decreto-Legge</w:t>
      </w:r>
      <w:r w:rsidR="00895B3B"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14 dicembre 2018, n. 135 convertito dalla Legge n. 12/2019</w:t>
      </w:r>
      <w:r w:rsidR="0051216E" w:rsidRPr="00E62D79">
        <w:rPr>
          <w:rFonts w:ascii="Times New Roman" w:hAnsi="Times New Roman" w:cs="Times New Roman"/>
          <w:i/>
          <w:sz w:val="24"/>
          <w:szCs w:val="24"/>
        </w:rPr>
        <w:t>,</w:t>
      </w:r>
      <w:r w:rsidR="00A37182" w:rsidRPr="00E62D79">
        <w:rPr>
          <w:rFonts w:ascii="Times New Roman" w:hAnsi="Times New Roman" w:cs="Times New Roman"/>
          <w:i/>
          <w:sz w:val="24"/>
          <w:szCs w:val="24"/>
        </w:rPr>
        <w:t xml:space="preserve"> Decreto-Legge 18 aprile 2019, n. 32 </w:t>
      </w:r>
      <w:r w:rsidRPr="00E62D79">
        <w:rPr>
          <w:rFonts w:ascii="Times New Roman" w:hAnsi="Times New Roman" w:cs="Times New Roman"/>
          <w:i/>
          <w:sz w:val="24"/>
          <w:szCs w:val="24"/>
        </w:rPr>
        <w:t>c</w:t>
      </w:r>
      <w:r w:rsidR="00A37182" w:rsidRPr="00E62D79">
        <w:rPr>
          <w:rFonts w:ascii="Times New Roman" w:hAnsi="Times New Roman" w:cs="Times New Roman"/>
          <w:i/>
          <w:sz w:val="24"/>
          <w:szCs w:val="24"/>
        </w:rPr>
        <w:t>onvertito dalla Legge n. 55/2019,</w:t>
      </w:r>
      <w:r w:rsidRPr="00E62D79">
        <w:rPr>
          <w:rFonts w:ascii="Times New Roman" w:hAnsi="Times New Roman" w:cs="Times New Roman"/>
          <w:i/>
          <w:sz w:val="24"/>
          <w:szCs w:val="24"/>
        </w:rPr>
        <w:t xml:space="preserve"> Decreto - Legge 16 luglio 2020, n.77 convertito dalla Legge 11 settembre 2020 n. 120,</w:t>
      </w:r>
      <w:r w:rsidR="00A37182" w:rsidRPr="00E62D79">
        <w:rPr>
          <w:rFonts w:ascii="Times New Roman" w:hAnsi="Times New Roman" w:cs="Times New Roman"/>
          <w:i/>
          <w:sz w:val="24"/>
          <w:szCs w:val="24"/>
        </w:rPr>
        <w:t xml:space="preserve"> ciascun </w:t>
      </w:r>
      <w:r w:rsidRPr="00E62D79">
        <w:rPr>
          <w:rFonts w:ascii="Times New Roman" w:hAnsi="Times New Roman" w:cs="Times New Roman"/>
          <w:i/>
          <w:sz w:val="24"/>
          <w:szCs w:val="24"/>
        </w:rPr>
        <w:t>operatore economico</w:t>
      </w:r>
      <w:r w:rsidR="00A37182" w:rsidRPr="00E62D79">
        <w:rPr>
          <w:rFonts w:ascii="Times New Roman" w:hAnsi="Times New Roman" w:cs="Times New Roman"/>
          <w:i/>
          <w:sz w:val="24"/>
          <w:szCs w:val="24"/>
        </w:rPr>
        <w:t xml:space="preserve"> che compila</w:t>
      </w:r>
      <w:r w:rsidR="00895B3B"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il DGUE allega una dichiarazione integrativa in ordine al possesso dei requisiti di cui all’art. 80,</w:t>
      </w:r>
      <w:r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 xml:space="preserve"> comma </w:t>
      </w:r>
      <w:r w:rsidRPr="00E62D79">
        <w:rPr>
          <w:rFonts w:ascii="Times New Roman" w:hAnsi="Times New Roman" w:cs="Times New Roman"/>
          <w:i/>
          <w:sz w:val="24"/>
          <w:szCs w:val="24"/>
        </w:rPr>
        <w:t xml:space="preserve">4 periodo </w:t>
      </w:r>
      <w:r w:rsidR="00A37182" w:rsidRPr="00E62D79">
        <w:rPr>
          <w:rFonts w:ascii="Times New Roman" w:hAnsi="Times New Roman" w:cs="Times New Roman"/>
          <w:i/>
          <w:sz w:val="24"/>
          <w:szCs w:val="24"/>
        </w:rPr>
        <w:t>5,</w:t>
      </w:r>
      <w:r w:rsidRPr="00E62D79">
        <w:rPr>
          <w:rFonts w:ascii="Times New Roman" w:hAnsi="Times New Roman" w:cs="Times New Roman"/>
          <w:i/>
          <w:sz w:val="24"/>
          <w:szCs w:val="24"/>
        </w:rPr>
        <w:t xml:space="preserve"> e comma 5</w:t>
      </w:r>
      <w:r w:rsidR="00A37182" w:rsidRPr="00E62D79">
        <w:rPr>
          <w:rFonts w:ascii="Times New Roman" w:hAnsi="Times New Roman" w:cs="Times New Roman"/>
          <w:i/>
          <w:sz w:val="24"/>
          <w:szCs w:val="24"/>
        </w:rPr>
        <w:t xml:space="preserve"> </w:t>
      </w:r>
      <w:proofErr w:type="spellStart"/>
      <w:r w:rsidR="00A37182" w:rsidRPr="00E62D79">
        <w:rPr>
          <w:rFonts w:ascii="Times New Roman" w:hAnsi="Times New Roman" w:cs="Times New Roman"/>
          <w:i/>
          <w:sz w:val="24"/>
          <w:szCs w:val="24"/>
        </w:rPr>
        <w:t>lett</w:t>
      </w:r>
      <w:proofErr w:type="spellEnd"/>
      <w:r w:rsidR="00A37182" w:rsidRPr="00E62D79">
        <w:rPr>
          <w:rFonts w:ascii="Times New Roman" w:hAnsi="Times New Roman" w:cs="Times New Roman"/>
          <w:i/>
          <w:sz w:val="24"/>
          <w:szCs w:val="24"/>
        </w:rPr>
        <w:t xml:space="preserve"> </w:t>
      </w:r>
      <w:r w:rsidRPr="00E62D79">
        <w:rPr>
          <w:rFonts w:ascii="Times New Roman" w:hAnsi="Times New Roman" w:cs="Times New Roman"/>
          <w:i/>
          <w:sz w:val="24"/>
          <w:szCs w:val="24"/>
        </w:rPr>
        <w:t xml:space="preserve">c, </w:t>
      </w:r>
      <w:r w:rsidR="00A37182" w:rsidRPr="00E62D79">
        <w:rPr>
          <w:rFonts w:ascii="Times New Roman" w:hAnsi="Times New Roman" w:cs="Times New Roman"/>
          <w:i/>
          <w:sz w:val="24"/>
          <w:szCs w:val="24"/>
        </w:rPr>
        <w:t xml:space="preserve">c-bis), c-ter), c-quater) e </w:t>
      </w:r>
      <w:proofErr w:type="spellStart"/>
      <w:r w:rsidR="00A37182" w:rsidRPr="00E62D79">
        <w:rPr>
          <w:rFonts w:ascii="Times New Roman" w:hAnsi="Times New Roman" w:cs="Times New Roman"/>
          <w:i/>
          <w:sz w:val="24"/>
          <w:szCs w:val="24"/>
        </w:rPr>
        <w:t>lett</w:t>
      </w:r>
      <w:proofErr w:type="spellEnd"/>
      <w:r w:rsidR="00A37182" w:rsidRPr="00E62D79">
        <w:rPr>
          <w:rFonts w:ascii="Times New Roman" w:hAnsi="Times New Roman" w:cs="Times New Roman"/>
          <w:i/>
          <w:sz w:val="24"/>
          <w:szCs w:val="24"/>
        </w:rPr>
        <w:t>. f-bis) e f-ter) del Decreto Legislativo 18 aprile 2016, n. 50</w:t>
      </w:r>
      <w:r w:rsidR="00095CA4" w:rsidRPr="00E62D79">
        <w:rPr>
          <w:rFonts w:ascii="Times New Roman" w:hAnsi="Times New Roman" w:cs="Times New Roman"/>
          <w:i/>
          <w:sz w:val="24"/>
          <w:szCs w:val="24"/>
        </w:rPr>
        <w:t xml:space="preserve"> “Codice dei Contratti Pubblici”</w:t>
      </w:r>
      <w:r w:rsidRPr="00E62D79">
        <w:rPr>
          <w:rFonts w:ascii="Times New Roman" w:hAnsi="Times New Roman" w:cs="Times New Roman"/>
          <w:i/>
          <w:sz w:val="24"/>
          <w:szCs w:val="24"/>
        </w:rPr>
        <w:t>)</w:t>
      </w:r>
    </w:p>
    <w:p w14:paraId="4C7D003F" w14:textId="3E8CAA8E" w:rsidR="00264661" w:rsidRDefault="00264661" w:rsidP="00264661">
      <w:pPr>
        <w:spacing w:before="100" w:beforeAutospacing="1" w:after="100" w:afterAutospacing="1"/>
        <w:jc w:val="both"/>
        <w:rPr>
          <w:rFonts w:ascii="Times New Roman" w:eastAsia="Calibri" w:hAnsi="Times New Roman" w:cs="Times New Roman"/>
          <w:b/>
          <w:bCs/>
          <w:iCs/>
          <w:sz w:val="24"/>
          <w:szCs w:val="24"/>
          <w:lang w:eastAsia="en-US"/>
        </w:rPr>
      </w:pPr>
    </w:p>
    <w:p w14:paraId="283BF1B6" w14:textId="679F7632" w:rsidR="00C30ED3" w:rsidRPr="00ED7453" w:rsidRDefault="00C30ED3" w:rsidP="00ED7453">
      <w:pPr>
        <w:ind w:left="851" w:hanging="851"/>
        <w:jc w:val="both"/>
        <w:rPr>
          <w:rFonts w:asciiTheme="majorHAnsi" w:hAnsiTheme="majorHAnsi"/>
          <w:b/>
        </w:rPr>
      </w:pPr>
      <w:r>
        <w:rPr>
          <w:rFonts w:ascii="Times New Roman" w:eastAsia="Calibri" w:hAnsi="Times New Roman" w:cs="Times New Roman"/>
          <w:b/>
          <w:bCs/>
          <w:iCs/>
          <w:sz w:val="24"/>
          <w:szCs w:val="24"/>
          <w:lang w:eastAsia="en-US"/>
        </w:rPr>
        <w:t>Titolo:</w:t>
      </w:r>
      <w:r w:rsidR="00ED7453" w:rsidRPr="00ED7453">
        <w:rPr>
          <w:rFonts w:asciiTheme="majorHAnsi" w:hAnsiTheme="majorHAnsi"/>
          <w:b/>
          <w:bCs/>
        </w:rPr>
        <w:t xml:space="preserve"> </w:t>
      </w:r>
      <w:r w:rsidR="00ED7453" w:rsidRPr="00BE29C9">
        <w:rPr>
          <w:rFonts w:asciiTheme="majorHAnsi" w:hAnsiTheme="majorHAnsi"/>
          <w:b/>
          <w:bCs/>
        </w:rPr>
        <w:t>FORNITURA DI</w:t>
      </w:r>
      <w:r w:rsidR="00ED7453" w:rsidRPr="00BE29C9">
        <w:rPr>
          <w:rFonts w:asciiTheme="majorHAnsi" w:hAnsiTheme="majorHAnsi"/>
          <w:b/>
        </w:rPr>
        <w:t xml:space="preserve"> 6 STRUTTURE ELETTROMECCANICHE DI TELESCOPI CHERENKOV ASTRI, DI ALTRI SOTTOSISTEMI E ATTIVITA’ CORRELATE ALLA LORO INTEGRAZIONE E POSA IN OPERA, per il progetto ASTRI Mini Array </w:t>
      </w:r>
    </w:p>
    <w:p w14:paraId="3E347610" w14:textId="48B52028" w:rsidR="00D222E1" w:rsidRPr="00E62D79" w:rsidRDefault="00D222E1" w:rsidP="00264661">
      <w:pPr>
        <w:spacing w:before="100" w:beforeAutospacing="1" w:after="100" w:afterAutospacing="1"/>
        <w:jc w:val="both"/>
        <w:rPr>
          <w:rFonts w:ascii="Times New Roman" w:eastAsia="Times" w:hAnsi="Times New Roman" w:cs="Times New Roman"/>
          <w:b/>
          <w:bCs/>
          <w:sz w:val="24"/>
          <w:szCs w:val="24"/>
          <w:lang w:bidi="ar-SA"/>
        </w:rPr>
      </w:pPr>
      <w:r w:rsidRPr="00E62D79">
        <w:rPr>
          <w:rFonts w:ascii="Times New Roman" w:eastAsia="Times" w:hAnsi="Times New Roman" w:cs="Times New Roman"/>
          <w:b/>
          <w:bCs/>
          <w:sz w:val="24"/>
          <w:szCs w:val="24"/>
          <w:lang w:bidi="ar-SA"/>
        </w:rPr>
        <w:t>CIG</w:t>
      </w:r>
      <w:r w:rsidR="00ED7453">
        <w:rPr>
          <w:rFonts w:ascii="Times New Roman" w:eastAsia="Times" w:hAnsi="Times New Roman" w:cs="Times New Roman"/>
          <w:b/>
          <w:bCs/>
          <w:sz w:val="24"/>
          <w:szCs w:val="24"/>
          <w:lang w:bidi="ar-SA"/>
        </w:rPr>
        <w:t xml:space="preserve">: </w:t>
      </w:r>
      <w:r w:rsidR="00ED7453" w:rsidRPr="00ED7453">
        <w:rPr>
          <w:rFonts w:ascii="Times New Roman" w:eastAsia="Times" w:hAnsi="Times New Roman" w:cs="Times New Roman"/>
          <w:b/>
          <w:bCs/>
          <w:sz w:val="24"/>
          <w:szCs w:val="24"/>
          <w:lang w:bidi="ar-SA"/>
        </w:rPr>
        <w:t>83298509AB</w:t>
      </w:r>
    </w:p>
    <w:p w14:paraId="7DA21F5F" w14:textId="77777777" w:rsidR="00A87C55" w:rsidRPr="00E62D79" w:rsidRDefault="00A87C55" w:rsidP="00A87C55">
      <w:pPr>
        <w:spacing w:before="100" w:beforeAutospacing="1" w:after="100" w:afterAutospacing="1"/>
        <w:jc w:val="both"/>
        <w:rPr>
          <w:rFonts w:ascii="Times New Roman" w:eastAsia="Times" w:hAnsi="Times New Roman" w:cs="Times New Roman"/>
          <w:b/>
          <w:bCs/>
          <w:sz w:val="24"/>
          <w:szCs w:val="24"/>
          <w:u w:val="single"/>
          <w:lang w:bidi="ar-SA"/>
        </w:rPr>
      </w:pPr>
    </w:p>
    <w:p w14:paraId="4F9A7E5D"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w w:val="18"/>
          <w:sz w:val="24"/>
          <w:szCs w:val="24"/>
          <w:u w:val="single"/>
        </w:rPr>
      </w:pPr>
      <w:r w:rsidRPr="00E62D79">
        <w:rPr>
          <w:rFonts w:ascii="Times New Roman" w:hAnsi="Times New Roman" w:cs="Times New Roman"/>
          <w:sz w:val="24"/>
          <w:szCs w:val="24"/>
          <w:u w:val="single"/>
        </w:rPr>
        <w:t>Il</w:t>
      </w:r>
      <w:r w:rsidRPr="00E62D79">
        <w:rPr>
          <w:rFonts w:ascii="Times New Roman" w:hAnsi="Times New Roman" w:cs="Times New Roman"/>
          <w:spacing w:val="-18"/>
          <w:sz w:val="24"/>
          <w:szCs w:val="24"/>
          <w:u w:val="single"/>
        </w:rPr>
        <w:t xml:space="preserve"> </w:t>
      </w:r>
      <w:r w:rsidRPr="00E62D79">
        <w:rPr>
          <w:rFonts w:ascii="Times New Roman" w:hAnsi="Times New Roman" w:cs="Times New Roman"/>
          <w:sz w:val="24"/>
          <w:szCs w:val="24"/>
          <w:u w:val="single"/>
        </w:rPr>
        <w:t>sottoscritto</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74EEA38D"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w w:val="58"/>
          <w:sz w:val="24"/>
          <w:szCs w:val="24"/>
          <w:u w:val="single"/>
        </w:rPr>
      </w:pPr>
      <w:r w:rsidRPr="00E62D79">
        <w:rPr>
          <w:rFonts w:ascii="Times New Roman" w:hAnsi="Times New Roman" w:cs="Times New Roman"/>
          <w:sz w:val="24"/>
          <w:szCs w:val="24"/>
          <w:u w:val="single"/>
        </w:rPr>
        <w:t>nato</w:t>
      </w:r>
      <w:r w:rsidRPr="00E62D79">
        <w:rPr>
          <w:rFonts w:ascii="Times New Roman" w:hAnsi="Times New Roman" w:cs="Times New Roman"/>
          <w:spacing w:val="-4"/>
          <w:sz w:val="24"/>
          <w:szCs w:val="24"/>
          <w:u w:val="single"/>
        </w:rPr>
        <w:t xml:space="preserve"> </w:t>
      </w:r>
      <w:r w:rsidRPr="00E62D79">
        <w:rPr>
          <w:rFonts w:ascii="Times New Roman" w:hAnsi="Times New Roman" w:cs="Times New Roman"/>
          <w:sz w:val="24"/>
          <w:szCs w:val="24"/>
          <w:u w:val="single"/>
        </w:rPr>
        <w:t xml:space="preserve">a </w:t>
      </w:r>
      <w:r w:rsidRPr="00E62D79">
        <w:rPr>
          <w:rFonts w:ascii="Times New Roman" w:hAnsi="Times New Roman" w:cs="Times New Roman"/>
          <w:sz w:val="24"/>
          <w:szCs w:val="24"/>
          <w:u w:val="single"/>
        </w:rPr>
        <w:tab/>
        <w:t xml:space="preserve">_il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t>Codice</w:t>
      </w:r>
      <w:r w:rsidRPr="00E62D79">
        <w:rPr>
          <w:rFonts w:ascii="Times New Roman" w:hAnsi="Times New Roman" w:cs="Times New Roman"/>
          <w:spacing w:val="-23"/>
          <w:sz w:val="24"/>
          <w:szCs w:val="24"/>
          <w:u w:val="single"/>
        </w:rPr>
        <w:t xml:space="preserve"> </w:t>
      </w:r>
      <w:r w:rsidRPr="00E62D79">
        <w:rPr>
          <w:rFonts w:ascii="Times New Roman" w:hAnsi="Times New Roman" w:cs="Times New Roman"/>
          <w:sz w:val="24"/>
          <w:szCs w:val="24"/>
          <w:u w:val="single"/>
        </w:rPr>
        <w:t>fiscale_</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02055C66" w14:textId="77777777" w:rsidR="00A87C55" w:rsidRPr="00E62D79" w:rsidRDefault="00A37182" w:rsidP="00A87C55">
      <w:pPr>
        <w:pStyle w:val="Corpotesto"/>
        <w:tabs>
          <w:tab w:val="left" w:pos="4348"/>
          <w:tab w:val="left" w:pos="4967"/>
          <w:tab w:val="left" w:pos="5081"/>
          <w:tab w:val="left" w:pos="6168"/>
          <w:tab w:val="left" w:pos="9923"/>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z w:val="24"/>
          <w:szCs w:val="24"/>
          <w:u w:val="single"/>
        </w:rPr>
        <w:t>in qualità di (titolare, legale rappresentante o</w:t>
      </w:r>
      <w:r w:rsidRPr="00E62D79">
        <w:rPr>
          <w:rFonts w:ascii="Times New Roman" w:hAnsi="Times New Roman" w:cs="Times New Roman"/>
          <w:spacing w:val="-36"/>
          <w:sz w:val="24"/>
          <w:szCs w:val="24"/>
          <w:u w:val="single"/>
        </w:rPr>
        <w:t xml:space="preserve"> </w:t>
      </w:r>
      <w:r w:rsidRPr="00E62D79">
        <w:rPr>
          <w:rFonts w:ascii="Times New Roman" w:hAnsi="Times New Roman" w:cs="Times New Roman"/>
          <w:sz w:val="24"/>
          <w:szCs w:val="24"/>
          <w:u w:val="single"/>
        </w:rPr>
        <w:t>procuratore)</w:t>
      </w:r>
      <w:r w:rsidRPr="00E62D79">
        <w:rPr>
          <w:rFonts w:ascii="Times New Roman" w:hAnsi="Times New Roman" w:cs="Times New Roman"/>
          <w:spacing w:val="8"/>
          <w:sz w:val="24"/>
          <w:szCs w:val="24"/>
          <w:u w:val="single"/>
        </w:rPr>
        <w:t xml:space="preserve"> </w:t>
      </w:r>
      <w:r w:rsidRPr="00E62D79">
        <w:rPr>
          <w:rFonts w:ascii="Times New Roman" w:hAnsi="Times New Roman" w:cs="Times New Roman"/>
          <w:spacing w:val="4"/>
          <w:sz w:val="24"/>
          <w:szCs w:val="24"/>
          <w:u w:val="single"/>
        </w:rPr>
        <w:t>_</w:t>
      </w:r>
      <w:r w:rsidRPr="00E62D79">
        <w:rPr>
          <w:rFonts w:ascii="Times New Roman" w:hAnsi="Times New Roman" w:cs="Times New Roman"/>
          <w:w w:val="99"/>
          <w:sz w:val="24"/>
          <w:szCs w:val="24"/>
          <w:u w:val="single"/>
        </w:rPr>
        <w:t xml:space="preserve"> </w:t>
      </w:r>
      <w:r w:rsidR="00A87C55" w:rsidRPr="00E62D79">
        <w:rPr>
          <w:rFonts w:ascii="Times New Roman" w:hAnsi="Times New Roman" w:cs="Times New Roman"/>
          <w:w w:val="99"/>
          <w:sz w:val="24"/>
          <w:szCs w:val="24"/>
          <w:u w:val="single"/>
        </w:rPr>
        <w:tab/>
      </w:r>
      <w:r w:rsidR="00A87C55" w:rsidRPr="00E62D79">
        <w:rPr>
          <w:rFonts w:ascii="Times New Roman" w:hAnsi="Times New Roman" w:cs="Times New Roman"/>
          <w:sz w:val="24"/>
          <w:szCs w:val="24"/>
          <w:u w:val="single"/>
        </w:rPr>
        <w:tab/>
      </w:r>
    </w:p>
    <w:p w14:paraId="22B6786B"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z w:val="24"/>
          <w:szCs w:val="24"/>
          <w:u w:val="single"/>
        </w:rPr>
        <w:tab/>
        <w:t>della</w:t>
      </w:r>
      <w:r w:rsidRPr="00E62D79">
        <w:rPr>
          <w:rFonts w:ascii="Times New Roman" w:hAnsi="Times New Roman" w:cs="Times New Roman"/>
          <w:spacing w:val="-5"/>
          <w:sz w:val="24"/>
          <w:szCs w:val="24"/>
          <w:u w:val="single"/>
        </w:rPr>
        <w:t xml:space="preserve"> </w:t>
      </w:r>
      <w:r w:rsidRPr="00E62D79">
        <w:rPr>
          <w:rFonts w:ascii="Times New Roman" w:hAnsi="Times New Roman" w:cs="Times New Roman"/>
          <w:spacing w:val="-3"/>
          <w:sz w:val="24"/>
          <w:szCs w:val="24"/>
          <w:u w:val="single"/>
        </w:rPr>
        <w:t>Società</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4D365FAA"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pacing w:val="5"/>
          <w:sz w:val="24"/>
          <w:szCs w:val="24"/>
          <w:u w:val="single"/>
        </w:rPr>
      </w:pP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t xml:space="preserve"> con </w:t>
      </w:r>
      <w:r w:rsidRPr="00E62D79">
        <w:rPr>
          <w:rFonts w:ascii="Times New Roman" w:hAnsi="Times New Roman" w:cs="Times New Roman"/>
          <w:spacing w:val="-3"/>
          <w:sz w:val="24"/>
          <w:szCs w:val="24"/>
          <w:u w:val="single"/>
        </w:rPr>
        <w:t>sede</w:t>
      </w:r>
      <w:r w:rsidRPr="00E62D79">
        <w:rPr>
          <w:rFonts w:ascii="Times New Roman" w:hAnsi="Times New Roman" w:cs="Times New Roman"/>
          <w:spacing w:val="-5"/>
          <w:sz w:val="24"/>
          <w:szCs w:val="24"/>
          <w:u w:val="single"/>
        </w:rPr>
        <w:t xml:space="preserve"> </w:t>
      </w:r>
      <w:r w:rsidRPr="00E62D79">
        <w:rPr>
          <w:rFonts w:ascii="Times New Roman" w:hAnsi="Times New Roman" w:cs="Times New Roman"/>
          <w:sz w:val="24"/>
          <w:szCs w:val="24"/>
          <w:u w:val="single"/>
        </w:rPr>
        <w:t>legale</w:t>
      </w:r>
      <w:r w:rsidRPr="00E62D79">
        <w:rPr>
          <w:rFonts w:ascii="Times New Roman" w:hAnsi="Times New Roman" w:cs="Times New Roman"/>
          <w:spacing w:val="-13"/>
          <w:sz w:val="24"/>
          <w:szCs w:val="24"/>
          <w:u w:val="single"/>
        </w:rPr>
        <w:t xml:space="preserve"> </w:t>
      </w:r>
      <w:r w:rsidRPr="00E62D79">
        <w:rPr>
          <w:rFonts w:ascii="Times New Roman" w:hAnsi="Times New Roman" w:cs="Times New Roman"/>
          <w:spacing w:val="5"/>
          <w:sz w:val="24"/>
          <w:szCs w:val="24"/>
          <w:u w:val="single"/>
        </w:rPr>
        <w:t xml:space="preserve">in </w:t>
      </w:r>
      <w:r w:rsidRPr="00E62D79">
        <w:rPr>
          <w:rFonts w:ascii="Times New Roman" w:hAnsi="Times New Roman" w:cs="Times New Roman"/>
          <w:spacing w:val="5"/>
          <w:sz w:val="24"/>
          <w:szCs w:val="24"/>
          <w:u w:val="single"/>
        </w:rPr>
        <w:tab/>
      </w:r>
    </w:p>
    <w:p w14:paraId="3A00CF7B"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pacing w:val="5"/>
          <w:sz w:val="24"/>
          <w:szCs w:val="24"/>
          <w:u w:val="single"/>
        </w:rPr>
        <w:tab/>
      </w:r>
      <w:r w:rsidRPr="00E62D79">
        <w:rPr>
          <w:rFonts w:ascii="Times New Roman" w:hAnsi="Times New Roman" w:cs="Times New Roman"/>
          <w:sz w:val="24"/>
          <w:szCs w:val="24"/>
          <w:u w:val="single"/>
        </w:rPr>
        <w:t>via</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4C24698A"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proofErr w:type="spellStart"/>
      <w:r w:rsidRPr="00E62D79">
        <w:rPr>
          <w:rFonts w:ascii="Times New Roman" w:hAnsi="Times New Roman" w:cs="Times New Roman"/>
          <w:sz w:val="24"/>
          <w:szCs w:val="24"/>
          <w:u w:val="single"/>
        </w:rPr>
        <w:t>Pec</w:t>
      </w:r>
      <w:proofErr w:type="spellEnd"/>
      <w:r w:rsidRPr="00E62D79">
        <w:rPr>
          <w:rFonts w:ascii="Times New Roman" w:hAnsi="Times New Roman" w:cs="Times New Roman"/>
          <w:sz w:val="24"/>
          <w:szCs w:val="24"/>
          <w:u w:val="single"/>
        </w:rPr>
        <w:t xml:space="preserve">_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i/>
          <w:sz w:val="24"/>
          <w:szCs w:val="24"/>
          <w:u w:val="single"/>
        </w:rPr>
        <w:t>e</w:t>
      </w:r>
      <w:r w:rsidRPr="00E62D79">
        <w:rPr>
          <w:rFonts w:ascii="Times New Roman" w:hAnsi="Times New Roman" w:cs="Times New Roman"/>
          <w:sz w:val="24"/>
          <w:szCs w:val="24"/>
          <w:u w:val="single"/>
        </w:rPr>
        <w:t>-mail_</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2BF1B464"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z w:val="24"/>
          <w:szCs w:val="24"/>
          <w:u w:val="single"/>
        </w:rPr>
        <w:t>P.IVA/codice</w:t>
      </w:r>
      <w:r w:rsidRPr="00E62D79">
        <w:rPr>
          <w:rFonts w:ascii="Times New Roman" w:hAnsi="Times New Roman" w:cs="Times New Roman"/>
          <w:spacing w:val="-30"/>
          <w:sz w:val="24"/>
          <w:szCs w:val="24"/>
          <w:u w:val="single"/>
        </w:rPr>
        <w:t xml:space="preserve"> </w:t>
      </w:r>
      <w:r w:rsidRPr="00E62D79">
        <w:rPr>
          <w:rFonts w:ascii="Times New Roman" w:hAnsi="Times New Roman" w:cs="Times New Roman"/>
          <w:sz w:val="24"/>
          <w:szCs w:val="24"/>
          <w:u w:val="single"/>
        </w:rPr>
        <w:t>fiscale</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72A23153" w14:textId="77777777" w:rsidR="00434F83" w:rsidRPr="00E62D79" w:rsidRDefault="00A37182" w:rsidP="00A87C55">
      <w:pPr>
        <w:pStyle w:val="Corpotesto"/>
        <w:tabs>
          <w:tab w:val="left" w:pos="9923"/>
        </w:tabs>
        <w:spacing w:before="100" w:beforeAutospacing="1" w:after="100" w:afterAutospacing="1" w:line="276" w:lineRule="auto"/>
        <w:ind w:right="115"/>
        <w:jc w:val="both"/>
        <w:rPr>
          <w:rFonts w:ascii="Times New Roman" w:hAnsi="Times New Roman" w:cs="Times New Roman"/>
          <w:sz w:val="24"/>
          <w:szCs w:val="24"/>
          <w:u w:val="single"/>
        </w:rPr>
      </w:pPr>
      <w:r w:rsidRPr="00E62D79">
        <w:rPr>
          <w:rFonts w:ascii="Times New Roman" w:hAnsi="Times New Roman" w:cs="Times New Roman"/>
          <w:sz w:val="24"/>
          <w:szCs w:val="24"/>
          <w:u w:val="single"/>
        </w:rPr>
        <w:t>iscrizione al registro delle</w:t>
      </w:r>
      <w:r w:rsidRPr="00E62D79">
        <w:rPr>
          <w:rFonts w:ascii="Times New Roman" w:hAnsi="Times New Roman" w:cs="Times New Roman"/>
          <w:spacing w:val="-37"/>
          <w:sz w:val="24"/>
          <w:szCs w:val="24"/>
          <w:u w:val="single"/>
        </w:rPr>
        <w:t xml:space="preserve"> </w:t>
      </w:r>
      <w:r w:rsidRPr="00E62D79">
        <w:rPr>
          <w:rFonts w:ascii="Times New Roman" w:hAnsi="Times New Roman" w:cs="Times New Roman"/>
          <w:sz w:val="24"/>
          <w:szCs w:val="24"/>
          <w:u w:val="single"/>
        </w:rPr>
        <w:t>imprese</w:t>
      </w:r>
      <w:r w:rsidRPr="00E62D79">
        <w:rPr>
          <w:rFonts w:ascii="Times New Roman" w:hAnsi="Times New Roman" w:cs="Times New Roman"/>
          <w:spacing w:val="-7"/>
          <w:sz w:val="24"/>
          <w:szCs w:val="24"/>
          <w:u w:val="single"/>
        </w:rPr>
        <w:t xml:space="preserve"> </w:t>
      </w:r>
      <w:r w:rsidRPr="00E62D79">
        <w:rPr>
          <w:rFonts w:ascii="Times New Roman" w:hAnsi="Times New Roman" w:cs="Times New Roman"/>
          <w:sz w:val="24"/>
          <w:szCs w:val="24"/>
          <w:u w:val="single"/>
        </w:rPr>
        <w:t>n.</w:t>
      </w:r>
      <w:r w:rsidR="00A87C55" w:rsidRPr="00E62D79">
        <w:rPr>
          <w:rFonts w:ascii="Times New Roman" w:hAnsi="Times New Roman" w:cs="Times New Roman"/>
          <w:sz w:val="24"/>
          <w:szCs w:val="24"/>
          <w:u w:val="single"/>
        </w:rPr>
        <w:tab/>
      </w:r>
    </w:p>
    <w:p w14:paraId="534B248D" w14:textId="77777777" w:rsidR="00434F83" w:rsidRPr="00E62D79" w:rsidRDefault="00A37182" w:rsidP="00A87C55">
      <w:pPr>
        <w:pStyle w:val="Corpotesto"/>
        <w:spacing w:before="100" w:beforeAutospacing="1" w:after="100" w:afterAutospacing="1" w:line="237" w:lineRule="auto"/>
        <w:jc w:val="both"/>
        <w:rPr>
          <w:rFonts w:ascii="Times New Roman" w:hAnsi="Times New Roman" w:cs="Times New Roman"/>
          <w:sz w:val="24"/>
          <w:szCs w:val="24"/>
        </w:rPr>
      </w:pPr>
      <w:r w:rsidRPr="00E62D79">
        <w:rPr>
          <w:rFonts w:ascii="Times New Roman" w:hAnsi="Times New Roman" w:cs="Times New Roman"/>
          <w:sz w:val="24"/>
          <w:szCs w:val="24"/>
        </w:rPr>
        <w:t xml:space="preserve">per </w:t>
      </w:r>
      <w:r w:rsidRPr="00E62D79">
        <w:rPr>
          <w:rFonts w:ascii="Times New Roman" w:hAnsi="Times New Roman" w:cs="Times New Roman"/>
          <w:spacing w:val="2"/>
          <w:sz w:val="24"/>
          <w:szCs w:val="24"/>
        </w:rPr>
        <w:t xml:space="preserve">la </w:t>
      </w:r>
      <w:r w:rsidRPr="00E62D79">
        <w:rPr>
          <w:rFonts w:ascii="Times New Roman" w:hAnsi="Times New Roman" w:cs="Times New Roman"/>
          <w:sz w:val="24"/>
          <w:szCs w:val="24"/>
        </w:rPr>
        <w:t xml:space="preserve">partecipazione alla procedura di cui in oggetto ed ai sensi degli articoli </w:t>
      </w:r>
      <w:r w:rsidRPr="00E62D79">
        <w:rPr>
          <w:rFonts w:ascii="Times New Roman" w:hAnsi="Times New Roman" w:cs="Times New Roman"/>
          <w:spacing w:val="-3"/>
          <w:sz w:val="24"/>
          <w:szCs w:val="24"/>
        </w:rPr>
        <w:t xml:space="preserve">46 </w:t>
      </w:r>
      <w:r w:rsidRPr="00E62D79">
        <w:rPr>
          <w:rFonts w:ascii="Times New Roman" w:hAnsi="Times New Roman" w:cs="Times New Roman"/>
          <w:sz w:val="24"/>
          <w:szCs w:val="24"/>
        </w:rPr>
        <w:t xml:space="preserve">e </w:t>
      </w:r>
      <w:r w:rsidRPr="00E62D79">
        <w:rPr>
          <w:rFonts w:ascii="Times New Roman" w:hAnsi="Times New Roman" w:cs="Times New Roman"/>
          <w:spacing w:val="-3"/>
          <w:sz w:val="24"/>
          <w:szCs w:val="24"/>
        </w:rPr>
        <w:t xml:space="preserve">47 </w:t>
      </w:r>
      <w:r w:rsidRPr="00E62D79">
        <w:rPr>
          <w:rFonts w:ascii="Times New Roman" w:hAnsi="Times New Roman" w:cs="Times New Roman"/>
          <w:spacing w:val="-4"/>
          <w:sz w:val="24"/>
          <w:szCs w:val="24"/>
        </w:rPr>
        <w:t xml:space="preserve">del </w:t>
      </w:r>
      <w:r w:rsidRPr="00E62D79">
        <w:rPr>
          <w:rFonts w:ascii="Times New Roman" w:hAnsi="Times New Roman" w:cs="Times New Roman"/>
          <w:spacing w:val="-3"/>
          <w:sz w:val="24"/>
          <w:szCs w:val="24"/>
        </w:rPr>
        <w:t xml:space="preserve">Decreto del </w:t>
      </w:r>
      <w:r w:rsidRPr="00E62D79">
        <w:rPr>
          <w:rFonts w:ascii="Times New Roman" w:hAnsi="Times New Roman" w:cs="Times New Roman"/>
          <w:sz w:val="24"/>
          <w:szCs w:val="24"/>
        </w:rPr>
        <w:t xml:space="preserve">Presidente della Repubblica 28 dicembre 2000, n. 445/2000, consapevole delle sanzioni penali previste dall’articolo 76 </w:t>
      </w:r>
      <w:r w:rsidRPr="00E62D79">
        <w:rPr>
          <w:rFonts w:ascii="Times New Roman" w:hAnsi="Times New Roman" w:cs="Times New Roman"/>
          <w:spacing w:val="-4"/>
          <w:sz w:val="24"/>
          <w:szCs w:val="24"/>
        </w:rPr>
        <w:t xml:space="preserve">del </w:t>
      </w:r>
      <w:r w:rsidRPr="00E62D79">
        <w:rPr>
          <w:rFonts w:ascii="Times New Roman" w:hAnsi="Times New Roman" w:cs="Times New Roman"/>
          <w:sz w:val="24"/>
          <w:szCs w:val="24"/>
        </w:rPr>
        <w:t xml:space="preserve">medesimo D.P.R. n. 445/2000, per </w:t>
      </w:r>
      <w:r w:rsidRPr="00E62D79">
        <w:rPr>
          <w:rFonts w:ascii="Times New Roman" w:hAnsi="Times New Roman" w:cs="Times New Roman"/>
          <w:spacing w:val="2"/>
          <w:sz w:val="24"/>
          <w:szCs w:val="24"/>
        </w:rPr>
        <w:t xml:space="preserve">le </w:t>
      </w:r>
      <w:r w:rsidRPr="00E62D79">
        <w:rPr>
          <w:rFonts w:ascii="Times New Roman" w:hAnsi="Times New Roman" w:cs="Times New Roman"/>
          <w:sz w:val="24"/>
          <w:szCs w:val="24"/>
        </w:rPr>
        <w:t xml:space="preserve">ipotesi </w:t>
      </w:r>
      <w:r w:rsidRPr="00E62D79">
        <w:rPr>
          <w:rFonts w:ascii="Times New Roman" w:hAnsi="Times New Roman" w:cs="Times New Roman"/>
          <w:spacing w:val="-4"/>
          <w:sz w:val="24"/>
          <w:szCs w:val="24"/>
        </w:rPr>
        <w:t xml:space="preserve">di </w:t>
      </w:r>
      <w:r w:rsidRPr="00E62D79">
        <w:rPr>
          <w:rFonts w:ascii="Times New Roman" w:hAnsi="Times New Roman" w:cs="Times New Roman"/>
          <w:sz w:val="24"/>
          <w:szCs w:val="24"/>
        </w:rPr>
        <w:t xml:space="preserve">falsità in </w:t>
      </w:r>
      <w:r w:rsidRPr="00E62D79">
        <w:rPr>
          <w:rFonts w:ascii="Times New Roman" w:hAnsi="Times New Roman" w:cs="Times New Roman"/>
          <w:spacing w:val="-3"/>
          <w:sz w:val="24"/>
          <w:szCs w:val="24"/>
        </w:rPr>
        <w:t xml:space="preserve">atti </w:t>
      </w:r>
      <w:r w:rsidRPr="00E62D79">
        <w:rPr>
          <w:rFonts w:ascii="Times New Roman" w:hAnsi="Times New Roman" w:cs="Times New Roman"/>
          <w:sz w:val="24"/>
          <w:szCs w:val="24"/>
        </w:rPr>
        <w:t xml:space="preserve">e dichiarazioni </w:t>
      </w:r>
      <w:r w:rsidRPr="00E62D79">
        <w:rPr>
          <w:rFonts w:ascii="Times New Roman" w:hAnsi="Times New Roman" w:cs="Times New Roman"/>
          <w:spacing w:val="-3"/>
          <w:sz w:val="24"/>
          <w:szCs w:val="24"/>
        </w:rPr>
        <w:t xml:space="preserve">mendaci ivi </w:t>
      </w:r>
      <w:r w:rsidRPr="00E62D79">
        <w:rPr>
          <w:rFonts w:ascii="Times New Roman" w:hAnsi="Times New Roman" w:cs="Times New Roman"/>
          <w:sz w:val="24"/>
          <w:szCs w:val="24"/>
        </w:rPr>
        <w:t>indicate:</w:t>
      </w:r>
    </w:p>
    <w:p w14:paraId="04C6288B" w14:textId="77777777" w:rsidR="00570368" w:rsidRPr="00E62D79" w:rsidRDefault="00A37182" w:rsidP="00A87C55">
      <w:pPr>
        <w:pStyle w:val="Titolo1"/>
        <w:spacing w:before="100" w:beforeAutospacing="1" w:after="100" w:afterAutospacing="1"/>
        <w:ind w:left="0" w:right="679"/>
        <w:jc w:val="center"/>
        <w:rPr>
          <w:rFonts w:ascii="Times New Roman" w:hAnsi="Times New Roman" w:cs="Times New Roman"/>
          <w:sz w:val="24"/>
          <w:szCs w:val="24"/>
        </w:rPr>
      </w:pPr>
      <w:r w:rsidRPr="00E62D79">
        <w:rPr>
          <w:rFonts w:ascii="Times New Roman" w:hAnsi="Times New Roman" w:cs="Times New Roman"/>
          <w:sz w:val="24"/>
          <w:szCs w:val="24"/>
        </w:rPr>
        <w:t>DICHIARA</w:t>
      </w:r>
      <w:r w:rsidR="00095CA4" w:rsidRPr="00E62D79">
        <w:rPr>
          <w:rFonts w:ascii="Times New Roman" w:hAnsi="Times New Roman" w:cs="Times New Roman"/>
          <w:sz w:val="24"/>
          <w:szCs w:val="24"/>
        </w:rPr>
        <w:t>:</w:t>
      </w:r>
    </w:p>
    <w:p w14:paraId="410DFE84" w14:textId="77777777" w:rsidR="00095CA4" w:rsidRPr="00E62D79" w:rsidRDefault="00095CA4" w:rsidP="00A87C55">
      <w:pPr>
        <w:pStyle w:val="Titolo1"/>
        <w:spacing w:before="100" w:beforeAutospacing="1" w:after="100" w:afterAutospacing="1"/>
        <w:ind w:left="0" w:right="679"/>
        <w:jc w:val="center"/>
        <w:rPr>
          <w:rFonts w:ascii="Times New Roman" w:hAnsi="Times New Roman" w:cs="Times New Roman"/>
          <w:sz w:val="24"/>
          <w:szCs w:val="24"/>
        </w:rPr>
      </w:pPr>
    </w:p>
    <w:p w14:paraId="50E9D343" w14:textId="77777777" w:rsidR="00895B3B" w:rsidRPr="00E62D79" w:rsidRDefault="00095CA4" w:rsidP="0023115E">
      <w:pPr>
        <w:pStyle w:val="Titolo1"/>
        <w:numPr>
          <w:ilvl w:val="0"/>
          <w:numId w:val="5"/>
        </w:numPr>
        <w:spacing w:before="120" w:after="120"/>
        <w:ind w:left="426" w:right="680" w:hanging="426"/>
        <w:jc w:val="both"/>
        <w:rPr>
          <w:rFonts w:ascii="Times New Roman" w:hAnsi="Times New Roman" w:cs="Times New Roman"/>
          <w:sz w:val="24"/>
          <w:szCs w:val="24"/>
        </w:rPr>
      </w:pPr>
      <w:r w:rsidRPr="00E62D79">
        <w:rPr>
          <w:rFonts w:ascii="Times New Roman" w:hAnsi="Times New Roman" w:cs="Times New Roman"/>
          <w:b w:val="0"/>
          <w:sz w:val="24"/>
          <w:szCs w:val="24"/>
        </w:rPr>
        <w:lastRenderedPageBreak/>
        <w:t>di conoscere la versione aggiornata dell’art. 80 del Codice dei Contratti Pubblici, che è pure riportata in calce alla presente autodichiarazione</w:t>
      </w:r>
    </w:p>
    <w:p w14:paraId="355A8BDB" w14:textId="77777777" w:rsidR="0023137A" w:rsidRPr="00E62D79" w:rsidRDefault="00A87C55" w:rsidP="0023115E">
      <w:pPr>
        <w:pStyle w:val="Corpotesto"/>
        <w:numPr>
          <w:ilvl w:val="0"/>
          <w:numId w:val="5"/>
        </w:numPr>
        <w:spacing w:before="100" w:beforeAutospacing="1" w:after="100" w:afterAutospacing="1" w:line="268" w:lineRule="auto"/>
        <w:ind w:left="426" w:right="131" w:hanging="426"/>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602833">
        <w:rPr>
          <w:rFonts w:ascii="Times New Roman" w:hAnsi="Times New Roman" w:cs="Times New Roman"/>
          <w:b/>
          <w:bCs/>
        </w:rPr>
      </w:r>
      <w:r w:rsidR="00602833">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l’operatore economico NON incorre nelle cause di esclusione di cui all’art. 80, comma 4, periodo 5 del Codice dei Contratti Pubblici;</w:t>
      </w:r>
    </w:p>
    <w:p w14:paraId="6DB41437" w14:textId="77777777" w:rsidR="0023137A" w:rsidRPr="00E62D79" w:rsidRDefault="00A87C55" w:rsidP="0023115E">
      <w:pPr>
        <w:pStyle w:val="Corpotesto"/>
        <w:spacing w:before="100" w:beforeAutospacing="1" w:after="100" w:afterAutospacing="1" w:line="271" w:lineRule="auto"/>
        <w:ind w:left="852" w:right="129" w:hanging="426"/>
        <w:jc w:val="both"/>
        <w:rPr>
          <w:rFonts w:ascii="Times New Roman" w:hAnsi="Times New Roman" w:cs="Times New Roman"/>
          <w:i/>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602833">
        <w:rPr>
          <w:rFonts w:ascii="Times New Roman" w:hAnsi="Times New Roman" w:cs="Times New Roman"/>
          <w:b/>
          <w:bCs/>
        </w:rPr>
      </w:r>
      <w:r w:rsidR="00602833">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ai sensi dell’art. 80, comma 4, periodo 5 del Codice dei Contratti Pubblici l’operatore economico segnala i seguenti fatti </w:t>
      </w:r>
      <w:r w:rsidR="0023137A" w:rsidRPr="00E62D79">
        <w:rPr>
          <w:rFonts w:ascii="Times New Roman" w:hAnsi="Times New Roman" w:cs="Times New Roman"/>
          <w:i/>
          <w:sz w:val="24"/>
          <w:szCs w:val="24"/>
        </w:rPr>
        <w:t>(specificare circostanze e misure di autodisciplina adottate):</w:t>
      </w:r>
    </w:p>
    <w:p w14:paraId="30788302" w14:textId="77777777" w:rsidR="00A87C55" w:rsidRPr="00E62D79" w:rsidRDefault="00A87C55"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1A46B57A" w14:textId="77777777" w:rsidR="00A87C55" w:rsidRPr="00E62D79" w:rsidRDefault="00A87C55"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25ACC351" w14:textId="77777777" w:rsidR="0023137A" w:rsidRPr="00E62D79" w:rsidRDefault="00A87C55" w:rsidP="0023115E">
      <w:pPr>
        <w:pStyle w:val="Corpotesto"/>
        <w:numPr>
          <w:ilvl w:val="0"/>
          <w:numId w:val="5"/>
        </w:numPr>
        <w:spacing w:before="100" w:beforeAutospacing="1" w:after="100" w:afterAutospacing="1" w:line="269" w:lineRule="auto"/>
        <w:ind w:left="426" w:right="130" w:hanging="426"/>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602833">
        <w:rPr>
          <w:rFonts w:ascii="Times New Roman" w:hAnsi="Times New Roman" w:cs="Times New Roman"/>
          <w:b/>
          <w:bCs/>
        </w:rPr>
      </w:r>
      <w:r w:rsidR="00602833">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l’operatore economico NON incorre nelle cause di esclusione di cui all’art. 80, comma 5, </w:t>
      </w:r>
      <w:proofErr w:type="spellStart"/>
      <w:r w:rsidR="0023137A" w:rsidRPr="00E62D79">
        <w:rPr>
          <w:rFonts w:ascii="Times New Roman" w:hAnsi="Times New Roman" w:cs="Times New Roman"/>
          <w:sz w:val="24"/>
          <w:szCs w:val="24"/>
        </w:rPr>
        <w:t>lett</w:t>
      </w:r>
      <w:proofErr w:type="spellEnd"/>
      <w:r w:rsidR="0023137A" w:rsidRPr="00E62D79">
        <w:rPr>
          <w:rFonts w:ascii="Times New Roman" w:hAnsi="Times New Roman" w:cs="Times New Roman"/>
          <w:sz w:val="24"/>
          <w:szCs w:val="24"/>
        </w:rPr>
        <w:t xml:space="preserve">. </w:t>
      </w:r>
      <w:r w:rsidR="00570368" w:rsidRPr="00E62D79">
        <w:rPr>
          <w:rFonts w:ascii="Times New Roman" w:hAnsi="Times New Roman" w:cs="Times New Roman"/>
          <w:sz w:val="24"/>
          <w:szCs w:val="24"/>
        </w:rPr>
        <w:t xml:space="preserve">c, </w:t>
      </w:r>
      <w:r w:rsidR="0023137A" w:rsidRPr="00E62D79">
        <w:rPr>
          <w:rFonts w:ascii="Times New Roman" w:hAnsi="Times New Roman" w:cs="Times New Roman"/>
          <w:sz w:val="24"/>
          <w:szCs w:val="24"/>
        </w:rPr>
        <w:t xml:space="preserve">c-bis), c-ter) e c-quater) del Codice dei </w:t>
      </w:r>
      <w:r w:rsidR="00AF6570" w:rsidRPr="00E62D79">
        <w:rPr>
          <w:rFonts w:ascii="Times New Roman" w:hAnsi="Times New Roman" w:cs="Times New Roman"/>
          <w:sz w:val="24"/>
          <w:szCs w:val="24"/>
        </w:rPr>
        <w:t>C</w:t>
      </w:r>
      <w:r w:rsidR="0023137A" w:rsidRPr="00E62D79">
        <w:rPr>
          <w:rFonts w:ascii="Times New Roman" w:hAnsi="Times New Roman" w:cs="Times New Roman"/>
          <w:sz w:val="24"/>
          <w:szCs w:val="24"/>
        </w:rPr>
        <w:t>ontratti</w:t>
      </w:r>
      <w:r w:rsidR="00AF6570" w:rsidRPr="00E62D79">
        <w:rPr>
          <w:rFonts w:ascii="Times New Roman" w:hAnsi="Times New Roman" w:cs="Times New Roman"/>
          <w:sz w:val="24"/>
          <w:szCs w:val="24"/>
        </w:rPr>
        <w:t xml:space="preserve"> Pubblici</w:t>
      </w:r>
      <w:r w:rsidR="0023137A" w:rsidRPr="00E62D79">
        <w:rPr>
          <w:rFonts w:ascii="Times New Roman" w:hAnsi="Times New Roman" w:cs="Times New Roman"/>
          <w:sz w:val="24"/>
          <w:szCs w:val="24"/>
        </w:rPr>
        <w:t>;</w:t>
      </w:r>
    </w:p>
    <w:p w14:paraId="6FCDC487" w14:textId="77777777" w:rsidR="0023137A" w:rsidRPr="00E62D79" w:rsidRDefault="00A87C55" w:rsidP="0023115E">
      <w:pPr>
        <w:pStyle w:val="Corpotesto"/>
        <w:spacing w:before="100" w:beforeAutospacing="1" w:after="100" w:afterAutospacing="1" w:line="271" w:lineRule="auto"/>
        <w:ind w:left="426" w:right="129"/>
        <w:jc w:val="both"/>
        <w:rPr>
          <w:rFonts w:ascii="Times New Roman" w:hAnsi="Times New Roman" w:cs="Times New Roman"/>
          <w:i/>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602833">
        <w:rPr>
          <w:rFonts w:ascii="Times New Roman" w:hAnsi="Times New Roman" w:cs="Times New Roman"/>
          <w:b/>
          <w:bCs/>
        </w:rPr>
      </w:r>
      <w:r w:rsidR="00602833">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ai sensi dell’art. 80, comma 5, </w:t>
      </w:r>
      <w:proofErr w:type="spellStart"/>
      <w:r w:rsidR="0023137A" w:rsidRPr="00E62D79">
        <w:rPr>
          <w:rFonts w:ascii="Times New Roman" w:hAnsi="Times New Roman" w:cs="Times New Roman"/>
          <w:sz w:val="24"/>
          <w:szCs w:val="24"/>
        </w:rPr>
        <w:t>lett</w:t>
      </w:r>
      <w:proofErr w:type="spellEnd"/>
      <w:r w:rsidR="0023137A" w:rsidRPr="00E62D79">
        <w:rPr>
          <w:rFonts w:ascii="Times New Roman" w:hAnsi="Times New Roman" w:cs="Times New Roman"/>
          <w:sz w:val="24"/>
          <w:szCs w:val="24"/>
        </w:rPr>
        <w:t xml:space="preserve">. </w:t>
      </w:r>
      <w:r w:rsidR="00570368" w:rsidRPr="00E62D79">
        <w:rPr>
          <w:rFonts w:ascii="Times New Roman" w:hAnsi="Times New Roman" w:cs="Times New Roman"/>
          <w:sz w:val="24"/>
          <w:szCs w:val="24"/>
        </w:rPr>
        <w:t xml:space="preserve">c, </w:t>
      </w:r>
      <w:r w:rsidR="0023137A" w:rsidRPr="00E62D79">
        <w:rPr>
          <w:rFonts w:ascii="Times New Roman" w:hAnsi="Times New Roman" w:cs="Times New Roman"/>
          <w:sz w:val="24"/>
          <w:szCs w:val="24"/>
        </w:rPr>
        <w:t xml:space="preserve">c-bis), c-ter) e c-quater) del Codice dei </w:t>
      </w:r>
      <w:r w:rsidR="00AF6570" w:rsidRPr="00E62D79">
        <w:rPr>
          <w:rFonts w:ascii="Times New Roman" w:hAnsi="Times New Roman" w:cs="Times New Roman"/>
          <w:sz w:val="24"/>
          <w:szCs w:val="24"/>
        </w:rPr>
        <w:t>C</w:t>
      </w:r>
      <w:r w:rsidR="0023137A" w:rsidRPr="00E62D79">
        <w:rPr>
          <w:rFonts w:ascii="Times New Roman" w:hAnsi="Times New Roman" w:cs="Times New Roman"/>
          <w:sz w:val="24"/>
          <w:szCs w:val="24"/>
        </w:rPr>
        <w:t xml:space="preserve">ontratti </w:t>
      </w:r>
      <w:r w:rsidR="00AF6570" w:rsidRPr="00E62D79">
        <w:rPr>
          <w:rFonts w:ascii="Times New Roman" w:hAnsi="Times New Roman" w:cs="Times New Roman"/>
          <w:sz w:val="24"/>
          <w:szCs w:val="24"/>
        </w:rPr>
        <w:t xml:space="preserve">Pubblici </w:t>
      </w:r>
      <w:r w:rsidR="0023137A" w:rsidRPr="00E62D79">
        <w:rPr>
          <w:rFonts w:ascii="Times New Roman" w:hAnsi="Times New Roman" w:cs="Times New Roman"/>
          <w:sz w:val="24"/>
          <w:szCs w:val="24"/>
        </w:rPr>
        <w:t xml:space="preserve">l’operatore economico segnala i seguenti fatti </w:t>
      </w:r>
      <w:r w:rsidR="0023137A" w:rsidRPr="00E62D79">
        <w:rPr>
          <w:rFonts w:ascii="Times New Roman" w:hAnsi="Times New Roman" w:cs="Times New Roman"/>
          <w:i/>
          <w:sz w:val="24"/>
          <w:szCs w:val="24"/>
        </w:rPr>
        <w:t>(specificare circostanze e misure di autodisciplina adottate):</w:t>
      </w:r>
    </w:p>
    <w:p w14:paraId="43F96189"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511F8D39"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4279B659" w14:textId="77777777" w:rsidR="00434F83" w:rsidRPr="00E62D79" w:rsidRDefault="0023115E" w:rsidP="0023115E">
      <w:pPr>
        <w:pStyle w:val="Corpotesto"/>
        <w:numPr>
          <w:ilvl w:val="0"/>
          <w:numId w:val="5"/>
        </w:numPr>
        <w:spacing w:before="100" w:beforeAutospacing="1" w:after="100" w:afterAutospacing="1" w:line="273" w:lineRule="auto"/>
        <w:ind w:left="426" w:right="131" w:hanging="426"/>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602833">
        <w:rPr>
          <w:rFonts w:ascii="Times New Roman" w:hAnsi="Times New Roman" w:cs="Times New Roman"/>
          <w:b/>
          <w:bCs/>
        </w:rPr>
      </w:r>
      <w:r w:rsidR="00602833">
        <w:rPr>
          <w:rFonts w:ascii="Times New Roman" w:hAnsi="Times New Roman" w:cs="Times New Roman"/>
          <w:b/>
          <w:bCs/>
        </w:rPr>
        <w:fldChar w:fldCharType="separate"/>
      </w:r>
      <w:r w:rsidRPr="00E62D79">
        <w:rPr>
          <w:rFonts w:ascii="Times New Roman" w:hAnsi="Times New Roman" w:cs="Times New Roman"/>
          <w:b/>
          <w:bCs/>
        </w:rPr>
        <w:fldChar w:fldCharType="end"/>
      </w:r>
      <w:r w:rsidRPr="00E62D79">
        <w:rPr>
          <w:rFonts w:ascii="Times New Roman" w:hAnsi="Times New Roman" w:cs="Times New Roman"/>
          <w:b/>
          <w:bCs/>
        </w:rPr>
        <w:t xml:space="preserve"> </w:t>
      </w:r>
      <w:r w:rsidR="00A37182" w:rsidRPr="00E62D79">
        <w:rPr>
          <w:rFonts w:ascii="Times New Roman" w:hAnsi="Times New Roman" w:cs="Times New Roman"/>
          <w:sz w:val="24"/>
          <w:szCs w:val="24"/>
        </w:rPr>
        <w:t>che l’operatore economico N</w:t>
      </w:r>
      <w:r w:rsidR="0023137A" w:rsidRPr="00E62D79">
        <w:rPr>
          <w:rFonts w:ascii="Times New Roman" w:hAnsi="Times New Roman" w:cs="Times New Roman"/>
          <w:sz w:val="24"/>
          <w:szCs w:val="24"/>
        </w:rPr>
        <w:t>ON</w:t>
      </w:r>
      <w:r w:rsidR="00A37182" w:rsidRPr="00E62D79">
        <w:rPr>
          <w:rFonts w:ascii="Times New Roman" w:hAnsi="Times New Roman" w:cs="Times New Roman"/>
          <w:sz w:val="24"/>
          <w:szCs w:val="24"/>
        </w:rPr>
        <w:t xml:space="preserve"> incorre nelle </w:t>
      </w:r>
      <w:r w:rsidR="00A37182" w:rsidRPr="00E62D79">
        <w:rPr>
          <w:rFonts w:ascii="Times New Roman" w:hAnsi="Times New Roman" w:cs="Times New Roman"/>
          <w:spacing w:val="-3"/>
          <w:sz w:val="24"/>
          <w:szCs w:val="24"/>
        </w:rPr>
        <w:t xml:space="preserve">cause </w:t>
      </w:r>
      <w:r w:rsidR="00A37182" w:rsidRPr="00E62D79">
        <w:rPr>
          <w:rFonts w:ascii="Times New Roman" w:hAnsi="Times New Roman" w:cs="Times New Roman"/>
          <w:sz w:val="24"/>
          <w:szCs w:val="24"/>
        </w:rPr>
        <w:t xml:space="preserve">di esclusione </w:t>
      </w:r>
      <w:r w:rsidR="00A37182" w:rsidRPr="00E62D79">
        <w:rPr>
          <w:rFonts w:ascii="Times New Roman" w:hAnsi="Times New Roman" w:cs="Times New Roman"/>
          <w:spacing w:val="-4"/>
          <w:sz w:val="24"/>
          <w:szCs w:val="24"/>
        </w:rPr>
        <w:t xml:space="preserve">di </w:t>
      </w:r>
      <w:r w:rsidR="00A37182" w:rsidRPr="00E62D79">
        <w:rPr>
          <w:rFonts w:ascii="Times New Roman" w:hAnsi="Times New Roman" w:cs="Times New Roman"/>
          <w:spacing w:val="-3"/>
          <w:sz w:val="24"/>
          <w:szCs w:val="24"/>
        </w:rPr>
        <w:t xml:space="preserve">cui </w:t>
      </w:r>
      <w:r w:rsidR="00A37182" w:rsidRPr="00E62D79">
        <w:rPr>
          <w:rFonts w:ascii="Times New Roman" w:hAnsi="Times New Roman" w:cs="Times New Roman"/>
          <w:sz w:val="24"/>
          <w:szCs w:val="24"/>
        </w:rPr>
        <w:t xml:space="preserve">all’art. 80, comma 5 </w:t>
      </w:r>
      <w:proofErr w:type="spellStart"/>
      <w:r w:rsidR="00A37182" w:rsidRPr="00E62D79">
        <w:rPr>
          <w:rFonts w:ascii="Times New Roman" w:hAnsi="Times New Roman" w:cs="Times New Roman"/>
          <w:sz w:val="24"/>
          <w:szCs w:val="24"/>
        </w:rPr>
        <w:t>lett</w:t>
      </w:r>
      <w:proofErr w:type="spellEnd"/>
      <w:r w:rsidR="00A37182" w:rsidRPr="00E62D79">
        <w:rPr>
          <w:rFonts w:ascii="Times New Roman" w:hAnsi="Times New Roman" w:cs="Times New Roman"/>
          <w:sz w:val="24"/>
          <w:szCs w:val="24"/>
        </w:rPr>
        <w:t xml:space="preserve">. f-bis) e f-ter) </w:t>
      </w:r>
      <w:r w:rsidR="00A37182" w:rsidRPr="00E62D79">
        <w:rPr>
          <w:rFonts w:ascii="Times New Roman" w:hAnsi="Times New Roman" w:cs="Times New Roman"/>
          <w:spacing w:val="-3"/>
          <w:sz w:val="24"/>
          <w:szCs w:val="24"/>
        </w:rPr>
        <w:t xml:space="preserve">del </w:t>
      </w:r>
      <w:r w:rsidR="00A37182" w:rsidRPr="00E62D79">
        <w:rPr>
          <w:rFonts w:ascii="Times New Roman" w:hAnsi="Times New Roman" w:cs="Times New Roman"/>
          <w:sz w:val="24"/>
          <w:szCs w:val="24"/>
        </w:rPr>
        <w:t xml:space="preserve">Codice </w:t>
      </w:r>
      <w:r w:rsidR="00A37182" w:rsidRPr="00E62D79">
        <w:rPr>
          <w:rFonts w:ascii="Times New Roman" w:hAnsi="Times New Roman" w:cs="Times New Roman"/>
          <w:spacing w:val="-3"/>
          <w:sz w:val="24"/>
          <w:szCs w:val="24"/>
        </w:rPr>
        <w:t>dei</w:t>
      </w:r>
      <w:r w:rsidR="00A37182" w:rsidRPr="00E62D79">
        <w:rPr>
          <w:rFonts w:ascii="Times New Roman" w:hAnsi="Times New Roman" w:cs="Times New Roman"/>
          <w:spacing w:val="3"/>
          <w:sz w:val="24"/>
          <w:szCs w:val="24"/>
        </w:rPr>
        <w:t xml:space="preserve"> </w:t>
      </w:r>
      <w:r w:rsidR="00AF6570" w:rsidRPr="00E62D79">
        <w:rPr>
          <w:rFonts w:ascii="Times New Roman" w:hAnsi="Times New Roman" w:cs="Times New Roman"/>
          <w:sz w:val="24"/>
          <w:szCs w:val="24"/>
        </w:rPr>
        <w:t>C</w:t>
      </w:r>
      <w:r w:rsidR="00A37182" w:rsidRPr="00E62D79">
        <w:rPr>
          <w:rFonts w:ascii="Times New Roman" w:hAnsi="Times New Roman" w:cs="Times New Roman"/>
          <w:sz w:val="24"/>
          <w:szCs w:val="24"/>
        </w:rPr>
        <w:t>ontratti</w:t>
      </w:r>
      <w:r w:rsidR="00AF6570" w:rsidRPr="00E62D79">
        <w:rPr>
          <w:rFonts w:ascii="Times New Roman" w:hAnsi="Times New Roman" w:cs="Times New Roman"/>
          <w:sz w:val="24"/>
          <w:szCs w:val="24"/>
        </w:rPr>
        <w:t xml:space="preserve"> Pubblici</w:t>
      </w:r>
      <w:r w:rsidR="00A37182" w:rsidRPr="00E62D79">
        <w:rPr>
          <w:rFonts w:ascii="Times New Roman" w:hAnsi="Times New Roman" w:cs="Times New Roman"/>
          <w:sz w:val="24"/>
          <w:szCs w:val="24"/>
        </w:rPr>
        <w:t>;</w:t>
      </w:r>
    </w:p>
    <w:p w14:paraId="52554AB9" w14:textId="77777777" w:rsidR="00434F83" w:rsidRPr="00E62D79" w:rsidRDefault="0023115E" w:rsidP="0023115E">
      <w:pPr>
        <w:pStyle w:val="Corpotesto"/>
        <w:spacing w:before="100" w:beforeAutospacing="1" w:after="100" w:afterAutospacing="1" w:line="273" w:lineRule="auto"/>
        <w:ind w:left="426" w:right="665"/>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602833">
        <w:rPr>
          <w:rFonts w:ascii="Times New Roman" w:hAnsi="Times New Roman" w:cs="Times New Roman"/>
          <w:b/>
          <w:bCs/>
        </w:rPr>
      </w:r>
      <w:r w:rsidR="00602833">
        <w:rPr>
          <w:rFonts w:ascii="Times New Roman" w:hAnsi="Times New Roman" w:cs="Times New Roman"/>
          <w:b/>
          <w:bCs/>
        </w:rPr>
        <w:fldChar w:fldCharType="separate"/>
      </w:r>
      <w:r w:rsidRPr="00E62D79">
        <w:rPr>
          <w:rFonts w:ascii="Times New Roman" w:hAnsi="Times New Roman" w:cs="Times New Roman"/>
          <w:b/>
          <w:bCs/>
        </w:rPr>
        <w:fldChar w:fldCharType="end"/>
      </w:r>
      <w:r w:rsidRPr="00E62D79">
        <w:rPr>
          <w:rFonts w:ascii="Times New Roman" w:hAnsi="Times New Roman" w:cs="Times New Roman"/>
          <w:b/>
          <w:bCs/>
        </w:rPr>
        <w:t xml:space="preserve"> </w:t>
      </w:r>
      <w:r w:rsidR="00A37182" w:rsidRPr="00E62D79">
        <w:rPr>
          <w:rFonts w:ascii="Times New Roman" w:hAnsi="Times New Roman" w:cs="Times New Roman"/>
          <w:sz w:val="24"/>
          <w:szCs w:val="24"/>
        </w:rPr>
        <w:t xml:space="preserve">che </w:t>
      </w:r>
      <w:r w:rsidR="00A37182" w:rsidRPr="00E62D79">
        <w:rPr>
          <w:rFonts w:ascii="Times New Roman" w:hAnsi="Times New Roman" w:cs="Times New Roman"/>
          <w:spacing w:val="-5"/>
          <w:sz w:val="24"/>
          <w:szCs w:val="24"/>
        </w:rPr>
        <w:t xml:space="preserve">ai </w:t>
      </w:r>
      <w:r w:rsidR="00A37182" w:rsidRPr="00E62D79">
        <w:rPr>
          <w:rFonts w:ascii="Times New Roman" w:hAnsi="Times New Roman" w:cs="Times New Roman"/>
          <w:sz w:val="24"/>
          <w:szCs w:val="24"/>
        </w:rPr>
        <w:t xml:space="preserve">sensi dell’art. 80, comma 5 </w:t>
      </w:r>
      <w:proofErr w:type="spellStart"/>
      <w:r w:rsidR="00A37182" w:rsidRPr="00E62D79">
        <w:rPr>
          <w:rFonts w:ascii="Times New Roman" w:hAnsi="Times New Roman" w:cs="Times New Roman"/>
          <w:sz w:val="24"/>
          <w:szCs w:val="24"/>
        </w:rPr>
        <w:t>lett</w:t>
      </w:r>
      <w:proofErr w:type="spellEnd"/>
      <w:r w:rsidR="00A37182" w:rsidRPr="00E62D79">
        <w:rPr>
          <w:rFonts w:ascii="Times New Roman" w:hAnsi="Times New Roman" w:cs="Times New Roman"/>
          <w:sz w:val="24"/>
          <w:szCs w:val="24"/>
        </w:rPr>
        <w:t xml:space="preserve">. f-bis) e f-ter) del </w:t>
      </w:r>
      <w:r w:rsidR="00AF6570" w:rsidRPr="00E62D79">
        <w:rPr>
          <w:rFonts w:ascii="Times New Roman" w:hAnsi="Times New Roman" w:cs="Times New Roman"/>
          <w:sz w:val="24"/>
          <w:szCs w:val="24"/>
        </w:rPr>
        <w:t>C</w:t>
      </w:r>
      <w:r w:rsidR="00A37182" w:rsidRPr="00E62D79">
        <w:rPr>
          <w:rFonts w:ascii="Times New Roman" w:hAnsi="Times New Roman" w:cs="Times New Roman"/>
          <w:sz w:val="24"/>
          <w:szCs w:val="24"/>
        </w:rPr>
        <w:t xml:space="preserve">odice </w:t>
      </w:r>
      <w:r w:rsidR="00A37182" w:rsidRPr="00E62D79">
        <w:rPr>
          <w:rFonts w:ascii="Times New Roman" w:hAnsi="Times New Roman" w:cs="Times New Roman"/>
          <w:spacing w:val="-3"/>
          <w:sz w:val="24"/>
          <w:szCs w:val="24"/>
        </w:rPr>
        <w:t xml:space="preserve">dei </w:t>
      </w:r>
      <w:r w:rsidR="00AF6570" w:rsidRPr="00E62D79">
        <w:rPr>
          <w:rFonts w:ascii="Times New Roman" w:hAnsi="Times New Roman" w:cs="Times New Roman"/>
          <w:sz w:val="24"/>
          <w:szCs w:val="24"/>
        </w:rPr>
        <w:t>C</w:t>
      </w:r>
      <w:r w:rsidR="00A37182" w:rsidRPr="00E62D79">
        <w:rPr>
          <w:rFonts w:ascii="Times New Roman" w:hAnsi="Times New Roman" w:cs="Times New Roman"/>
          <w:sz w:val="24"/>
          <w:szCs w:val="24"/>
        </w:rPr>
        <w:t xml:space="preserve">ontratti </w:t>
      </w:r>
      <w:r w:rsidR="00AF6570" w:rsidRPr="00E62D79">
        <w:rPr>
          <w:rFonts w:ascii="Times New Roman" w:hAnsi="Times New Roman" w:cs="Times New Roman"/>
          <w:sz w:val="24"/>
          <w:szCs w:val="24"/>
        </w:rPr>
        <w:t xml:space="preserve">Pubblici </w:t>
      </w:r>
      <w:r w:rsidR="00A37182" w:rsidRPr="00E62D79">
        <w:rPr>
          <w:rFonts w:ascii="Times New Roman" w:hAnsi="Times New Roman" w:cs="Times New Roman"/>
          <w:sz w:val="24"/>
          <w:szCs w:val="24"/>
        </w:rPr>
        <w:t xml:space="preserve">l’operatore economico segnala i seguenti </w:t>
      </w:r>
      <w:r w:rsidR="00A37182" w:rsidRPr="00E62D79">
        <w:rPr>
          <w:rFonts w:ascii="Times New Roman" w:hAnsi="Times New Roman" w:cs="Times New Roman"/>
          <w:spacing w:val="-3"/>
          <w:sz w:val="24"/>
          <w:szCs w:val="24"/>
        </w:rPr>
        <w:t xml:space="preserve">fatti </w:t>
      </w:r>
      <w:r w:rsidR="00A37182" w:rsidRPr="00E62D79">
        <w:rPr>
          <w:rFonts w:ascii="Times New Roman" w:hAnsi="Times New Roman" w:cs="Times New Roman"/>
          <w:i/>
          <w:sz w:val="24"/>
          <w:szCs w:val="24"/>
        </w:rPr>
        <w:t xml:space="preserve">(specificare circostanze e misure </w:t>
      </w:r>
      <w:r w:rsidR="00A37182" w:rsidRPr="00E62D79">
        <w:rPr>
          <w:rFonts w:ascii="Times New Roman" w:hAnsi="Times New Roman" w:cs="Times New Roman"/>
          <w:i/>
          <w:spacing w:val="-4"/>
          <w:sz w:val="24"/>
          <w:szCs w:val="24"/>
        </w:rPr>
        <w:t xml:space="preserve">di </w:t>
      </w:r>
    </w:p>
    <w:p w14:paraId="2D20859B"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53B26273"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7D77B921" w14:textId="77777777" w:rsidR="00095CA4" w:rsidRPr="00E62D79" w:rsidRDefault="00095CA4" w:rsidP="00A87C55">
      <w:pPr>
        <w:pStyle w:val="NormaleWeb"/>
        <w:jc w:val="both"/>
        <w:rPr>
          <w:sz w:val="20"/>
          <w:szCs w:val="20"/>
        </w:rPr>
      </w:pPr>
      <w:bookmarkStart w:id="0" w:name="080"/>
      <w:r w:rsidRPr="00E62D79">
        <w:rPr>
          <w:b/>
          <w:bCs/>
          <w:sz w:val="20"/>
          <w:szCs w:val="20"/>
        </w:rPr>
        <w:t>Art. 80</w:t>
      </w:r>
      <w:bookmarkEnd w:id="0"/>
      <w:r w:rsidRPr="00E62D79">
        <w:rPr>
          <w:b/>
          <w:bCs/>
          <w:sz w:val="20"/>
          <w:szCs w:val="20"/>
        </w:rPr>
        <w:t>. (Motivi di esclusione) Decreto Legislativo 18 aprile 2016 n. 50 “Codice dei Contratti Pubblici”</w:t>
      </w:r>
    </w:p>
    <w:p w14:paraId="750621A5" w14:textId="77777777" w:rsidR="009F5E77" w:rsidRPr="00E62D79" w:rsidRDefault="00095CA4" w:rsidP="008D6038">
      <w:pPr>
        <w:pStyle w:val="NormaleWeb"/>
        <w:numPr>
          <w:ilvl w:val="0"/>
          <w:numId w:val="13"/>
        </w:numPr>
        <w:spacing w:before="0" w:beforeAutospacing="0" w:after="0" w:afterAutospacing="0"/>
        <w:jc w:val="both"/>
        <w:rPr>
          <w:sz w:val="20"/>
          <w:szCs w:val="20"/>
        </w:rPr>
      </w:pPr>
      <w:r w:rsidRPr="00E62D79">
        <w:rPr>
          <w:sz w:val="20"/>
          <w:szCs w:val="20"/>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w:t>
      </w:r>
      <w:r w:rsidR="009F5E77" w:rsidRPr="00E62D79">
        <w:rPr>
          <w:sz w:val="20"/>
          <w:szCs w:val="20"/>
        </w:rPr>
        <w:t>, anche riferita a un suo subappaltatore nei casi di cui all'articolo 105, comma 6,</w:t>
      </w:r>
      <w:r w:rsidRPr="00E62D79">
        <w:rPr>
          <w:sz w:val="20"/>
          <w:szCs w:val="20"/>
        </w:rPr>
        <w:t xml:space="preserve"> per uno dei seguenti reati: </w:t>
      </w:r>
    </w:p>
    <w:p w14:paraId="07459E1F" w14:textId="77777777" w:rsidR="00095CA4" w:rsidRPr="00E62D79" w:rsidRDefault="00095CA4" w:rsidP="008D6038">
      <w:pPr>
        <w:pStyle w:val="NormaleWeb"/>
        <w:spacing w:before="0" w:beforeAutospacing="0" w:after="0" w:afterAutospacing="0"/>
        <w:ind w:left="349"/>
        <w:jc w:val="both"/>
        <w:rPr>
          <w:i/>
          <w:iCs/>
          <w:strike/>
          <w:color w:val="FF0000"/>
          <w:sz w:val="20"/>
          <w:szCs w:val="20"/>
        </w:rPr>
      </w:pPr>
      <w:r w:rsidRPr="00E62D79">
        <w:rPr>
          <w:i/>
          <w:iCs/>
          <w:color w:val="FF0000"/>
          <w:sz w:val="20"/>
          <w:szCs w:val="20"/>
        </w:rPr>
        <w:t>(ai sensi dell'art. 1, comma 18, secondo periodo, della legge n. 55 del 2019, fino al 31 dicembre 2020, il subappaltatore non deve essere indicato in fase di gara)</w:t>
      </w:r>
      <w:r w:rsidR="009F5E77" w:rsidRPr="00E62D79">
        <w:rPr>
          <w:i/>
          <w:iCs/>
          <w:color w:val="FF0000"/>
          <w:sz w:val="20"/>
          <w:szCs w:val="20"/>
        </w:rPr>
        <w:t xml:space="preserve"> </w:t>
      </w:r>
    </w:p>
    <w:p w14:paraId="14CFC363" w14:textId="77777777" w:rsidR="00E62D79" w:rsidRPr="00E62D79" w:rsidRDefault="00E62D79" w:rsidP="008D6038">
      <w:pPr>
        <w:pStyle w:val="NormaleWeb"/>
        <w:spacing w:before="0" w:beforeAutospacing="0" w:after="0" w:afterAutospacing="0"/>
        <w:ind w:left="349"/>
        <w:jc w:val="both"/>
        <w:rPr>
          <w:strike/>
          <w:sz w:val="20"/>
          <w:szCs w:val="20"/>
        </w:rPr>
      </w:pPr>
    </w:p>
    <w:p w14:paraId="01876251"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w:t>
      </w:r>
      <w:r w:rsidRPr="00E62D79">
        <w:rPr>
          <w:sz w:val="20"/>
          <w:szCs w:val="20"/>
        </w:rPr>
        <w:lastRenderedPageBreak/>
        <w:t xml:space="preserve">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1D37D7D"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b) delitti, consumati o tentati, di cui agli articoli 317, 318, 319, 319-ter, 319-quater, 320, 321, 322, 322-bis, 346-bis, 353, 353-bis, 354, 355 e 356 del codice penale nonché all’articolo 2635 del codice civile; </w:t>
      </w:r>
    </w:p>
    <w:p w14:paraId="698209DD"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b-bis) false comunicazioni sociali di cui agli articoli 2621 e 2622 del codice civile;</w:t>
      </w:r>
    </w:p>
    <w:p w14:paraId="3CC14657"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c) frode ai sensi dell'articolo 1 della convenzione relativa alla tutela degli interessi finanziari delle Comunità europee;</w:t>
      </w:r>
    </w:p>
    <w:p w14:paraId="5DB45663"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d) delitti, consumati o tentati, commessi con finalità di terrorismo, anche internazionale, e di eversione dell'ordine costituzionale reati terroristici o reati connessi alle attività terroristiche; </w:t>
      </w:r>
    </w:p>
    <w:p w14:paraId="6A630B8C"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e) delitti di cui agli articoli 648-bis, 648-ter e 648-ter.1 del codice penale, riciclaggio di proventi di attività criminose o finanziamento del terrorismo, quali definiti all'articolo 1 del decreto legislativo 22 giugno 2007, n. 109</w:t>
      </w:r>
      <w:r w:rsidR="009F5E77" w:rsidRPr="00E62D79">
        <w:rPr>
          <w:sz w:val="20"/>
          <w:szCs w:val="20"/>
        </w:rPr>
        <w:t xml:space="preserve"> e successive modificazioni;</w:t>
      </w:r>
    </w:p>
    <w:p w14:paraId="74BEF62A"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f) sfruttamento del lavoro minorile e altre forme di tratta di esseri umani definite con il decreto legislativo 4 marzo 2014, n. 24; </w:t>
      </w:r>
    </w:p>
    <w:p w14:paraId="5CF69035" w14:textId="77777777" w:rsidR="00095CA4" w:rsidRPr="00E62D79" w:rsidRDefault="00095CA4" w:rsidP="008D6038">
      <w:pPr>
        <w:pStyle w:val="NormaleWeb"/>
        <w:spacing w:before="0" w:beforeAutospacing="0" w:after="0" w:afterAutospacing="0"/>
        <w:ind w:left="349"/>
        <w:jc w:val="both"/>
        <w:rPr>
          <w:sz w:val="20"/>
          <w:szCs w:val="20"/>
        </w:rPr>
      </w:pPr>
      <w:r w:rsidRPr="00E62D79">
        <w:rPr>
          <w:sz w:val="20"/>
          <w:szCs w:val="20"/>
        </w:rPr>
        <w:t>g) ogni altro delitto da cui derivi, quale pena accessoria, l'incapacità di contrattare con la pubblica amministrazione.</w:t>
      </w:r>
    </w:p>
    <w:p w14:paraId="7A073145" w14:textId="77777777" w:rsidR="00E62D79" w:rsidRPr="00E62D79" w:rsidRDefault="00095CA4" w:rsidP="00E62D79">
      <w:pPr>
        <w:pStyle w:val="NormaleWeb"/>
        <w:numPr>
          <w:ilvl w:val="0"/>
          <w:numId w:val="13"/>
        </w:numPr>
        <w:spacing w:after="0" w:afterAutospacing="0"/>
        <w:ind w:left="357" w:hanging="357"/>
        <w:jc w:val="both"/>
        <w:rPr>
          <w:sz w:val="20"/>
          <w:szCs w:val="20"/>
        </w:rPr>
      </w:pPr>
      <w:r w:rsidRPr="00E62D79">
        <w:rPr>
          <w:sz w:val="20"/>
          <w:szCs w:val="20"/>
        </w:rPr>
        <w:t>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r w:rsidR="008D6038" w:rsidRPr="00E62D79">
        <w:rPr>
          <w:sz w:val="20"/>
          <w:szCs w:val="20"/>
        </w:rPr>
        <w:t>.</w:t>
      </w:r>
      <w:r w:rsidR="009F5E77" w:rsidRPr="00E62D79">
        <w:rPr>
          <w:sz w:val="20"/>
          <w:szCs w:val="20"/>
        </w:rPr>
        <w:t xml:space="preserve"> </w:t>
      </w:r>
    </w:p>
    <w:p w14:paraId="00FA131D" w14:textId="77777777" w:rsidR="00095CA4" w:rsidRPr="00E62D79" w:rsidRDefault="00095CA4" w:rsidP="00E62D79">
      <w:pPr>
        <w:pStyle w:val="NormaleWeb"/>
        <w:spacing w:before="0" w:beforeAutospacing="0" w:after="240" w:afterAutospacing="0"/>
        <w:ind w:left="357"/>
        <w:jc w:val="both"/>
        <w:rPr>
          <w:sz w:val="20"/>
          <w:szCs w:val="20"/>
        </w:rPr>
      </w:pPr>
      <w:r w:rsidRPr="00E62D79">
        <w:rPr>
          <w:i/>
          <w:iCs/>
          <w:color w:val="FF0000"/>
          <w:sz w:val="20"/>
          <w:szCs w:val="20"/>
        </w:rPr>
        <w:t xml:space="preserve">(comma così modificato dall'art. 1, comma 20, </w:t>
      </w:r>
      <w:proofErr w:type="spellStart"/>
      <w:r w:rsidRPr="00E62D79">
        <w:rPr>
          <w:i/>
          <w:iCs/>
          <w:color w:val="FF0000"/>
          <w:sz w:val="20"/>
          <w:szCs w:val="20"/>
        </w:rPr>
        <w:t>lett</w:t>
      </w:r>
      <w:proofErr w:type="spellEnd"/>
      <w:r w:rsidRPr="00E62D79">
        <w:rPr>
          <w:i/>
          <w:iCs/>
          <w:color w:val="FF0000"/>
          <w:sz w:val="20"/>
          <w:szCs w:val="20"/>
        </w:rPr>
        <w:t>. o), della legge n. 55 del 2019)</w:t>
      </w:r>
    </w:p>
    <w:p w14:paraId="14BBFA82" w14:textId="77777777" w:rsidR="00E62D79" w:rsidRPr="00E62D79" w:rsidRDefault="00095CA4" w:rsidP="00E62D79">
      <w:pPr>
        <w:pStyle w:val="NormaleWeb"/>
        <w:numPr>
          <w:ilvl w:val="0"/>
          <w:numId w:val="13"/>
        </w:numPr>
        <w:spacing w:after="0" w:afterAutospacing="0"/>
        <w:ind w:left="357" w:hanging="357"/>
        <w:jc w:val="both"/>
        <w:rPr>
          <w:sz w:val="20"/>
          <w:szCs w:val="20"/>
        </w:rPr>
      </w:pPr>
      <w:r w:rsidRPr="00E62D79">
        <w:rPr>
          <w:sz w:val="20"/>
          <w:szCs w:val="20"/>
        </w:rPr>
        <w:t xml:space="preserve">L’esclusione di cui ai commi 1 e 2 va disposta se la sentenza o il decreto ovvero la misura </w:t>
      </w:r>
      <w:proofErr w:type="spellStart"/>
      <w:r w:rsidRPr="00E62D79">
        <w:rPr>
          <w:sz w:val="20"/>
          <w:szCs w:val="20"/>
        </w:rPr>
        <w:t>interdittiva</w:t>
      </w:r>
      <w:proofErr w:type="spellEnd"/>
      <w:r w:rsidRPr="00E62D79">
        <w:rPr>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A85FED5" w14:textId="77777777" w:rsidR="00095CA4" w:rsidRPr="00E62D79" w:rsidRDefault="008D6038" w:rsidP="00E62D79">
      <w:pPr>
        <w:pStyle w:val="NormaleWeb"/>
        <w:spacing w:before="0" w:beforeAutospacing="0" w:after="0" w:afterAutospacing="0"/>
        <w:ind w:left="357"/>
        <w:jc w:val="both"/>
        <w:rPr>
          <w:sz w:val="20"/>
          <w:szCs w:val="20"/>
        </w:rPr>
      </w:pPr>
      <w:r w:rsidRPr="00E62D79">
        <w:rPr>
          <w:sz w:val="20"/>
          <w:szCs w:val="20"/>
        </w:rPr>
        <w:t xml:space="preserve"> </w:t>
      </w:r>
      <w:r w:rsidR="00095CA4" w:rsidRPr="00E62D79">
        <w:rPr>
          <w:i/>
          <w:iCs/>
          <w:color w:val="FF0000"/>
          <w:sz w:val="20"/>
          <w:szCs w:val="20"/>
        </w:rPr>
        <w:t xml:space="preserve">(comma così modificato dall'art. 1, comma 20, </w:t>
      </w:r>
      <w:proofErr w:type="spellStart"/>
      <w:r w:rsidR="00095CA4" w:rsidRPr="00E62D79">
        <w:rPr>
          <w:i/>
          <w:iCs/>
          <w:color w:val="FF0000"/>
          <w:sz w:val="20"/>
          <w:szCs w:val="20"/>
        </w:rPr>
        <w:t>lett</w:t>
      </w:r>
      <w:proofErr w:type="spellEnd"/>
      <w:r w:rsidR="00095CA4" w:rsidRPr="00E62D79">
        <w:rPr>
          <w:i/>
          <w:iCs/>
          <w:color w:val="FF0000"/>
          <w:sz w:val="20"/>
          <w:szCs w:val="20"/>
        </w:rPr>
        <w:t>. o), della legge n. 55 del 2019)</w:t>
      </w:r>
    </w:p>
    <w:p w14:paraId="518DF9CC" w14:textId="77777777" w:rsidR="00E62D79" w:rsidRPr="00E62D79" w:rsidRDefault="00095CA4" w:rsidP="008D6038">
      <w:pPr>
        <w:pStyle w:val="NormaleWeb"/>
        <w:numPr>
          <w:ilvl w:val="0"/>
          <w:numId w:val="13"/>
        </w:numPr>
        <w:spacing w:before="240" w:beforeAutospacing="0" w:after="0" w:afterAutospacing="0"/>
        <w:ind w:left="357" w:hanging="357"/>
        <w:jc w:val="both"/>
        <w:rPr>
          <w:sz w:val="20"/>
          <w:szCs w:val="20"/>
        </w:rPr>
      </w:pPr>
      <w:r w:rsidRPr="00E62D79">
        <w:rPr>
          <w:sz w:val="20"/>
          <w:szCs w:val="20"/>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008D6038" w:rsidRPr="00E62D79">
        <w:rPr>
          <w:sz w:val="20"/>
          <w:szCs w:val="20"/>
        </w:rPr>
        <w:t xml:space="preserve"> </w:t>
      </w:r>
    </w:p>
    <w:p w14:paraId="4EB4E315" w14:textId="77777777" w:rsidR="00095CA4" w:rsidRPr="00E62D79" w:rsidRDefault="00095CA4" w:rsidP="00E62D79">
      <w:pPr>
        <w:pStyle w:val="NormaleWeb"/>
        <w:spacing w:before="0" w:beforeAutospacing="0" w:after="0" w:afterAutospacing="0"/>
        <w:ind w:left="357"/>
        <w:jc w:val="both"/>
        <w:rPr>
          <w:sz w:val="20"/>
          <w:szCs w:val="20"/>
        </w:rPr>
      </w:pPr>
      <w:r w:rsidRPr="00E62D79">
        <w:rPr>
          <w:i/>
          <w:iCs/>
          <w:color w:val="FF0000"/>
          <w:sz w:val="20"/>
          <w:szCs w:val="20"/>
        </w:rPr>
        <w:t>(comma così modificato dall'art. 8, comma 5, lettera b), della legge n. 120 del 2020)</w:t>
      </w:r>
    </w:p>
    <w:p w14:paraId="0C78883B" w14:textId="77777777" w:rsidR="00E62D79" w:rsidRPr="00E62D79" w:rsidRDefault="00095CA4" w:rsidP="008D6038">
      <w:pPr>
        <w:pStyle w:val="NormaleWeb"/>
        <w:numPr>
          <w:ilvl w:val="0"/>
          <w:numId w:val="13"/>
        </w:numPr>
        <w:spacing w:before="240" w:beforeAutospacing="0" w:after="0" w:afterAutospacing="0"/>
        <w:ind w:left="357" w:hanging="357"/>
        <w:jc w:val="both"/>
        <w:rPr>
          <w:sz w:val="20"/>
          <w:szCs w:val="20"/>
        </w:rPr>
      </w:pPr>
      <w:r w:rsidRPr="00E62D79">
        <w:rPr>
          <w:sz w:val="20"/>
          <w:szCs w:val="20"/>
        </w:rPr>
        <w:lastRenderedPageBreak/>
        <w:t>Le stazioni appaltanti escludono dalla partecipazione alla procedura d'appalto un operatore economico in una delle seguenti situazioni</w:t>
      </w:r>
      <w:r w:rsidR="008D6038" w:rsidRPr="00E62D79">
        <w:rPr>
          <w:sz w:val="20"/>
          <w:szCs w:val="20"/>
        </w:rPr>
        <w:t>, anche riferita a un suo subappaltatore nei casi di cui all'articolo 105, comma 6</w:t>
      </w:r>
      <w:r w:rsidRPr="00E62D79">
        <w:rPr>
          <w:sz w:val="20"/>
          <w:szCs w:val="20"/>
        </w:rPr>
        <w:t xml:space="preserve"> qualora: </w:t>
      </w:r>
    </w:p>
    <w:p w14:paraId="070EEC9F" w14:textId="77777777" w:rsidR="00095CA4" w:rsidRPr="00E62D79" w:rsidRDefault="00095CA4" w:rsidP="00E62D79">
      <w:pPr>
        <w:pStyle w:val="NormaleWeb"/>
        <w:spacing w:before="0" w:beforeAutospacing="0" w:after="0" w:afterAutospacing="0"/>
        <w:ind w:left="357"/>
        <w:jc w:val="both"/>
        <w:rPr>
          <w:sz w:val="20"/>
          <w:szCs w:val="20"/>
        </w:rPr>
      </w:pPr>
      <w:r w:rsidRPr="00E62D79">
        <w:rPr>
          <w:i/>
          <w:iCs/>
          <w:color w:val="FF0000"/>
          <w:sz w:val="20"/>
          <w:szCs w:val="20"/>
        </w:rPr>
        <w:t>(ai sensi dell'art. 1, comma 18, secondo periodo, del decreto sblocca-cantieri, fino al 31 dicembre 2020, il subappaltatore non deve essere indicato in fase di gara)</w:t>
      </w:r>
    </w:p>
    <w:p w14:paraId="6298312E" w14:textId="77777777" w:rsidR="008D6038" w:rsidRPr="00E62D79" w:rsidRDefault="00095CA4" w:rsidP="008D6038">
      <w:pPr>
        <w:pStyle w:val="NormaleWeb"/>
        <w:numPr>
          <w:ilvl w:val="0"/>
          <w:numId w:val="18"/>
        </w:numPr>
        <w:spacing w:before="0" w:beforeAutospacing="0" w:after="0" w:afterAutospacing="0"/>
        <w:ind w:left="714" w:hanging="357"/>
        <w:jc w:val="both"/>
        <w:rPr>
          <w:sz w:val="20"/>
          <w:szCs w:val="20"/>
        </w:rPr>
      </w:pPr>
      <w:r w:rsidRPr="00E62D79">
        <w:rPr>
          <w:sz w:val="20"/>
          <w:szCs w:val="20"/>
        </w:rPr>
        <w:t xml:space="preserve">la stazione appaltante possa dimostrare con qualunque mezzo adeguato la presenza di gravi infrazioni debitamente accertate alle norme in materia di salute e sicurezza sul lavoro nonché agli obblighi di cui all'articolo 30, comma 3 del presente codice; </w:t>
      </w:r>
    </w:p>
    <w:p w14:paraId="03A38C01" w14:textId="77777777" w:rsidR="00E62D79" w:rsidRPr="00E62D79" w:rsidRDefault="00095CA4" w:rsidP="004A4DE4">
      <w:pPr>
        <w:pStyle w:val="NormaleWeb"/>
        <w:numPr>
          <w:ilvl w:val="0"/>
          <w:numId w:val="18"/>
        </w:numPr>
        <w:spacing w:before="0" w:beforeAutospacing="0" w:after="0" w:afterAutospacing="0"/>
        <w:ind w:left="714" w:hanging="357"/>
        <w:jc w:val="both"/>
        <w:rPr>
          <w:sz w:val="20"/>
          <w:szCs w:val="20"/>
        </w:rPr>
      </w:pPr>
      <w:r w:rsidRPr="00E62D79">
        <w:rPr>
          <w:sz w:val="20"/>
          <w:szCs w:val="20"/>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008D6038" w:rsidRPr="00E62D79">
        <w:rPr>
          <w:sz w:val="20"/>
          <w:szCs w:val="20"/>
        </w:rPr>
        <w:t xml:space="preserve"> </w:t>
      </w:r>
    </w:p>
    <w:p w14:paraId="343EB11F" w14:textId="77777777" w:rsidR="00E62D79" w:rsidRPr="00E62D79" w:rsidRDefault="00095CA4" w:rsidP="00E62D79">
      <w:pPr>
        <w:pStyle w:val="NormaleWeb"/>
        <w:spacing w:before="0" w:beforeAutospacing="0" w:after="0" w:afterAutospacing="0"/>
        <w:ind w:left="714"/>
        <w:jc w:val="both"/>
        <w:rPr>
          <w:color w:val="000000"/>
          <w:sz w:val="20"/>
          <w:szCs w:val="20"/>
        </w:rPr>
      </w:pPr>
      <w:r w:rsidRPr="00E62D79">
        <w:rPr>
          <w:i/>
          <w:iCs/>
          <w:color w:val="FF0000"/>
          <w:sz w:val="20"/>
          <w:szCs w:val="20"/>
        </w:rPr>
        <w:t xml:space="preserve">(lettera così sostituita dall'art. 1, comma 20, </w:t>
      </w:r>
      <w:proofErr w:type="spellStart"/>
      <w:r w:rsidRPr="00E62D79">
        <w:rPr>
          <w:i/>
          <w:iCs/>
          <w:color w:val="FF0000"/>
          <w:sz w:val="20"/>
          <w:szCs w:val="20"/>
        </w:rPr>
        <w:t>lett</w:t>
      </w:r>
      <w:proofErr w:type="spellEnd"/>
      <w:r w:rsidRPr="00E62D79">
        <w:rPr>
          <w:i/>
          <w:iCs/>
          <w:color w:val="FF0000"/>
          <w:sz w:val="20"/>
          <w:szCs w:val="20"/>
        </w:rPr>
        <w:t>. o), della legge n. 55 del 2019)</w:t>
      </w:r>
      <w:r w:rsidR="008D6038" w:rsidRPr="00E62D79">
        <w:rPr>
          <w:i/>
          <w:iCs/>
          <w:color w:val="FF0000"/>
          <w:sz w:val="20"/>
          <w:szCs w:val="20"/>
        </w:rPr>
        <w:t xml:space="preserve"> </w:t>
      </w:r>
      <w:r w:rsidRPr="00E62D79">
        <w:rPr>
          <w:i/>
          <w:iCs/>
          <w:sz w:val="20"/>
          <w:szCs w:val="20"/>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r w:rsidRPr="00E62D79">
        <w:rPr>
          <w:color w:val="000000"/>
          <w:sz w:val="20"/>
          <w:szCs w:val="20"/>
        </w:rPr>
        <w:t xml:space="preserve"> </w:t>
      </w:r>
    </w:p>
    <w:p w14:paraId="641DB2EC" w14:textId="77777777" w:rsidR="00095CA4" w:rsidRPr="00E62D79" w:rsidRDefault="00095CA4" w:rsidP="00E62D79">
      <w:pPr>
        <w:pStyle w:val="NormaleWeb"/>
        <w:spacing w:before="0" w:beforeAutospacing="0" w:after="0" w:afterAutospacing="0"/>
        <w:ind w:left="714"/>
        <w:jc w:val="both"/>
        <w:rPr>
          <w:sz w:val="20"/>
          <w:szCs w:val="20"/>
        </w:rPr>
      </w:pPr>
      <w:r w:rsidRPr="00E62D79">
        <w:rPr>
          <w:i/>
          <w:iCs/>
          <w:color w:val="FF0000"/>
          <w:sz w:val="20"/>
          <w:szCs w:val="20"/>
        </w:rPr>
        <w:t>(lettera così sostituita dall'art. 372, comma 1, del decreto legislativo n. 14 del 2019 a partire dal 1° settembre 2021)</w:t>
      </w:r>
    </w:p>
    <w:p w14:paraId="6265FE92" w14:textId="77777777" w:rsidR="008D6038"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la stazione appaltante dimostri con mezzi adeguati che l'operatore economico si è reso colpevole di gravi illeciti professionali, tali da rendere dubbia la sua integrità o affidabilità;</w:t>
      </w:r>
      <w:r w:rsidRPr="00E62D79">
        <w:rPr>
          <w:sz w:val="20"/>
          <w:szCs w:val="20"/>
        </w:rPr>
        <w:b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7DE40406" w14:textId="77777777" w:rsidR="00E62D79" w:rsidRPr="00E62D79" w:rsidRDefault="00095CA4" w:rsidP="008D6038">
      <w:pPr>
        <w:pStyle w:val="NormaleWeb"/>
        <w:spacing w:before="0" w:beforeAutospacing="0" w:after="0" w:afterAutospacing="0"/>
        <w:ind w:left="709" w:hanging="349"/>
        <w:jc w:val="both"/>
        <w:rPr>
          <w:sz w:val="20"/>
          <w:szCs w:val="20"/>
        </w:rPr>
      </w:pPr>
      <w:r w:rsidRPr="00E62D79">
        <w:rPr>
          <w:sz w:val="20"/>
          <w:szCs w:val="20"/>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2F7B43FB" w14:textId="77777777" w:rsidR="00095CA4" w:rsidRPr="00E62D79" w:rsidRDefault="008D6038" w:rsidP="00E62D79">
      <w:pPr>
        <w:pStyle w:val="NormaleWeb"/>
        <w:spacing w:before="0" w:beforeAutospacing="0" w:after="0" w:afterAutospacing="0"/>
        <w:ind w:left="709"/>
        <w:jc w:val="both"/>
        <w:rPr>
          <w:sz w:val="20"/>
          <w:szCs w:val="20"/>
        </w:rPr>
      </w:pPr>
      <w:r w:rsidRPr="00E62D79">
        <w:rPr>
          <w:sz w:val="20"/>
          <w:szCs w:val="20"/>
        </w:rPr>
        <w:t xml:space="preserve"> </w:t>
      </w:r>
      <w:r w:rsidR="00095CA4" w:rsidRPr="00E62D79">
        <w:rPr>
          <w:i/>
          <w:iCs/>
          <w:color w:val="FF0000"/>
          <w:sz w:val="20"/>
          <w:szCs w:val="20"/>
        </w:rPr>
        <w:t>(lettera c) sostituita dalle lettere c), c-bis) e c-ter) dall'art. 5 del decreto-legge n. 135 del 2018, convertito nella legge n. 12 del 2019)</w:t>
      </w:r>
    </w:p>
    <w:p w14:paraId="26EBB9F2" w14:textId="77777777" w:rsidR="00E62D79" w:rsidRPr="00E62D79" w:rsidRDefault="00095CA4" w:rsidP="008D6038">
      <w:pPr>
        <w:pStyle w:val="NormaleWeb"/>
        <w:spacing w:before="0" w:beforeAutospacing="0" w:after="0" w:afterAutospacing="0"/>
        <w:ind w:left="709" w:hanging="349"/>
        <w:jc w:val="both"/>
        <w:rPr>
          <w:i/>
          <w:iCs/>
          <w:strike/>
          <w:color w:val="FF0000"/>
          <w:sz w:val="20"/>
          <w:szCs w:val="20"/>
        </w:rPr>
      </w:pPr>
      <w:r w:rsidRPr="00E62D79">
        <w:rPr>
          <w:sz w:val="20"/>
          <w:szCs w:val="20"/>
        </w:rPr>
        <w:t>c-quater) l’operatore economico abbia commesso grave inadempimento nei confronti di uno o più subappaltatori, riconosciuto o accertato con sentenza passata in giudicato;</w:t>
      </w:r>
      <w:r w:rsidR="008D6038" w:rsidRPr="00E62D79">
        <w:rPr>
          <w:sz w:val="20"/>
          <w:szCs w:val="20"/>
        </w:rPr>
        <w:t xml:space="preserve"> </w:t>
      </w:r>
    </w:p>
    <w:p w14:paraId="3C493083" w14:textId="77777777" w:rsidR="00095CA4" w:rsidRPr="00E62D79" w:rsidRDefault="00095CA4" w:rsidP="00E62D79">
      <w:pPr>
        <w:pStyle w:val="NormaleWeb"/>
        <w:spacing w:before="0" w:beforeAutospacing="0" w:after="0" w:afterAutospacing="0"/>
        <w:ind w:left="1058" w:hanging="349"/>
        <w:jc w:val="both"/>
        <w:rPr>
          <w:sz w:val="20"/>
          <w:szCs w:val="20"/>
        </w:rPr>
      </w:pPr>
      <w:r w:rsidRPr="00E62D79">
        <w:rPr>
          <w:i/>
          <w:iCs/>
          <w:color w:val="FF0000"/>
          <w:sz w:val="20"/>
          <w:szCs w:val="20"/>
        </w:rPr>
        <w:t>(lettera introdotta dall'art. 1, comma 20, lettera o), della legge n. 55 del 2019)</w:t>
      </w:r>
    </w:p>
    <w:p w14:paraId="5ED6E2E3" w14:textId="77777777" w:rsidR="00095CA4"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la partecipazione dell'operatore economico determini una situazione di conflitto di interesse ai sensi dell'articolo 42, comma 2, non diversamente risolvibile; </w:t>
      </w:r>
    </w:p>
    <w:p w14:paraId="74CAFB5F" w14:textId="77777777" w:rsidR="00095CA4"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una distorsione della concorrenza derivante dal precedente coinvolgimento degli operatori economici nella preparazione della procedura d'appalto di cui all'articolo 67 non possa essere risolta con misure meno intrusive; </w:t>
      </w:r>
    </w:p>
    <w:p w14:paraId="2A1A74B5" w14:textId="77777777" w:rsidR="008D6038"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sia stato soggetto alla sanzione </w:t>
      </w:r>
      <w:proofErr w:type="spellStart"/>
      <w:r w:rsidRPr="00E62D79">
        <w:rPr>
          <w:sz w:val="20"/>
          <w:szCs w:val="20"/>
        </w:rPr>
        <w:t>interdittiva</w:t>
      </w:r>
      <w:proofErr w:type="spellEnd"/>
      <w:r w:rsidRPr="00E62D79">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E62D79">
        <w:rPr>
          <w:sz w:val="20"/>
          <w:szCs w:val="20"/>
        </w:rPr>
        <w:t>interdittivi</w:t>
      </w:r>
      <w:proofErr w:type="spellEnd"/>
      <w:r w:rsidRPr="00E62D79">
        <w:rPr>
          <w:sz w:val="20"/>
          <w:szCs w:val="20"/>
        </w:rPr>
        <w:t xml:space="preserve"> di cui all'articolo 14 del decreto legislativo 9 aprile 2008, n. 81; </w:t>
      </w:r>
    </w:p>
    <w:p w14:paraId="53FC0DB5" w14:textId="77777777" w:rsidR="008D6038" w:rsidRPr="00E62D79" w:rsidRDefault="00095CA4" w:rsidP="008D6038">
      <w:pPr>
        <w:pStyle w:val="NormaleWeb"/>
        <w:spacing w:before="0" w:beforeAutospacing="0" w:after="0" w:afterAutospacing="0"/>
        <w:ind w:left="709" w:hanging="349"/>
        <w:jc w:val="both"/>
        <w:rPr>
          <w:sz w:val="20"/>
          <w:szCs w:val="20"/>
        </w:rPr>
      </w:pPr>
      <w:r w:rsidRPr="00E62D79">
        <w:rPr>
          <w:sz w:val="20"/>
          <w:szCs w:val="20"/>
        </w:rPr>
        <w:t xml:space="preserve">f-bis) l’operatore economico che presenti nella procedura di gara in corso e negli affidamenti di subappalti documentazione o dichiarazioni non veritiere; </w:t>
      </w:r>
    </w:p>
    <w:p w14:paraId="07A6BD50" w14:textId="77777777" w:rsidR="00095CA4" w:rsidRPr="00E62D79" w:rsidRDefault="00095CA4" w:rsidP="008D6038">
      <w:pPr>
        <w:pStyle w:val="NormaleWeb"/>
        <w:spacing w:before="0" w:beforeAutospacing="0" w:after="0" w:afterAutospacing="0"/>
        <w:ind w:left="709" w:hanging="349"/>
        <w:jc w:val="both"/>
        <w:rPr>
          <w:sz w:val="20"/>
          <w:szCs w:val="20"/>
        </w:rPr>
      </w:pPr>
      <w:r w:rsidRPr="00E62D79">
        <w:rPr>
          <w:sz w:val="20"/>
          <w:szCs w:val="20"/>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2B95066" w14:textId="77777777" w:rsidR="00095CA4"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3A4E2495" w14:textId="77777777" w:rsidR="00095CA4" w:rsidRPr="00E62D79" w:rsidRDefault="00095CA4" w:rsidP="002F0D34">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62DE4590" w14:textId="77777777" w:rsidR="00095CA4" w:rsidRPr="00E62D79" w:rsidRDefault="00095CA4" w:rsidP="002F0D34">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non presenti la certificazione di cui all'articolo 17 della legge 12 marzo 1999, n. 68, ovvero non autocertifichi la sussistenza del medesimo requisito; </w:t>
      </w:r>
    </w:p>
    <w:p w14:paraId="041F9290" w14:textId="77777777" w:rsidR="00095CA4" w:rsidRPr="00E62D79" w:rsidRDefault="00095CA4" w:rsidP="002F0D34">
      <w:pPr>
        <w:pStyle w:val="NormaleWeb"/>
        <w:numPr>
          <w:ilvl w:val="0"/>
          <w:numId w:val="21"/>
        </w:numPr>
        <w:spacing w:before="0" w:beforeAutospacing="0" w:after="0" w:afterAutospacing="0"/>
        <w:jc w:val="both"/>
        <w:rPr>
          <w:sz w:val="20"/>
          <w:szCs w:val="20"/>
        </w:rPr>
      </w:pPr>
      <w:r w:rsidRPr="00E62D79">
        <w:rPr>
          <w:sz w:val="20"/>
          <w:szCs w:val="20"/>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w:t>
      </w:r>
      <w:r w:rsidRPr="00E62D79">
        <w:rPr>
          <w:sz w:val="20"/>
          <w:szCs w:val="20"/>
        </w:rPr>
        <w:lastRenderedPageBreak/>
        <w:t xml:space="preserve">omesso la predetta denuncia, dal procuratore della Repubblica procedente all'ANAC, la quale cura la pubblicazione della comunicazione sul sito dell'Osservatorio; </w:t>
      </w:r>
    </w:p>
    <w:p w14:paraId="4A464B58" w14:textId="77777777" w:rsidR="00095CA4" w:rsidRPr="00E62D79" w:rsidRDefault="00095CA4" w:rsidP="002F0D34">
      <w:pPr>
        <w:pStyle w:val="NormaleWeb"/>
        <w:numPr>
          <w:ilvl w:val="0"/>
          <w:numId w:val="21"/>
        </w:numPr>
        <w:spacing w:before="0" w:beforeAutospacing="0" w:after="0" w:afterAutospacing="0"/>
        <w:jc w:val="both"/>
        <w:rPr>
          <w:sz w:val="20"/>
          <w:szCs w:val="20"/>
        </w:rPr>
      </w:pPr>
      <w:r w:rsidRPr="00E62D79">
        <w:rPr>
          <w:sz w:val="20"/>
          <w:szCs w:val="20"/>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05C54F2E" w14:textId="77777777" w:rsidR="00095CA4" w:rsidRPr="00E62D79" w:rsidRDefault="00095CA4" w:rsidP="002F0D34">
      <w:pPr>
        <w:pStyle w:val="NormaleWeb"/>
        <w:numPr>
          <w:ilvl w:val="0"/>
          <w:numId w:val="13"/>
        </w:numPr>
        <w:spacing w:before="240" w:beforeAutospacing="0"/>
        <w:jc w:val="both"/>
        <w:rPr>
          <w:sz w:val="20"/>
          <w:szCs w:val="20"/>
        </w:rPr>
      </w:pPr>
      <w:r w:rsidRPr="00E62D79">
        <w:rPr>
          <w:sz w:val="20"/>
          <w:szCs w:val="20"/>
        </w:rPr>
        <w:t xml:space="preserve">Le stazioni appaltanti escludono un operatore economico in qualunque momento della procedura, qualora risulti che l'operatore economico si trova, a causa di atti compiuti o omessi prima o nel corso della procedura, in una delle situazioni di cui ai commi 1, 2, 4 e 5. </w:t>
      </w:r>
    </w:p>
    <w:p w14:paraId="7D7B53E0"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7F4DB31B"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Se la stazione appaltante ritiene che le misure di cui al comma 7 sono sufficienti, l'operatore economico non è escluso della procedura d'appalto; viceversa dell'esclusione viene data motivata comunicazione all'operatore economico. </w:t>
      </w:r>
    </w:p>
    <w:p w14:paraId="62DD0107"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Un operatore economico escluso con sentenza definitiva dalla partecipazione alle procedure di appalto non può avvalersi della possibilità prevista dai commi 7 e 8 nel corso del periodo di esclusione derivante da tale sentenza. </w:t>
      </w:r>
    </w:p>
    <w:p w14:paraId="537D4AE0" w14:textId="77777777" w:rsidR="00E62D79" w:rsidRPr="00E62D79" w:rsidRDefault="00095CA4" w:rsidP="00E62D79">
      <w:pPr>
        <w:pStyle w:val="NormaleWeb"/>
        <w:numPr>
          <w:ilvl w:val="0"/>
          <w:numId w:val="13"/>
        </w:numPr>
        <w:spacing w:before="240" w:beforeAutospacing="0" w:after="0" w:afterAutospacing="0"/>
        <w:ind w:left="357" w:hanging="357"/>
        <w:jc w:val="both"/>
        <w:rPr>
          <w:sz w:val="20"/>
          <w:szCs w:val="20"/>
        </w:rPr>
      </w:pPr>
      <w:r w:rsidRPr="00E62D79">
        <w:rPr>
          <w:sz w:val="20"/>
          <w:szCs w:val="20"/>
        </w:rPr>
        <w:t>Se la sentenza penale di condanna definitiva non fissa la durata della pena accessoria della incapacità di contrattare con la pubblica amministrazione, la durata della esclusione dalla procedura d’appalto o concessione è:</w:t>
      </w:r>
      <w:r w:rsidR="002F0D34" w:rsidRPr="00E62D79">
        <w:rPr>
          <w:sz w:val="20"/>
          <w:szCs w:val="20"/>
        </w:rPr>
        <w:t xml:space="preserve"> </w:t>
      </w:r>
    </w:p>
    <w:p w14:paraId="08AE4B58" w14:textId="77777777" w:rsidR="00095CA4" w:rsidRPr="00E62D79" w:rsidRDefault="00095CA4" w:rsidP="00E62D79">
      <w:pPr>
        <w:pStyle w:val="NormaleWeb"/>
        <w:spacing w:before="0" w:beforeAutospacing="0" w:after="0" w:afterAutospacing="0"/>
        <w:ind w:left="357"/>
        <w:jc w:val="both"/>
        <w:rPr>
          <w:sz w:val="20"/>
          <w:szCs w:val="20"/>
        </w:rPr>
      </w:pPr>
      <w:r w:rsidRPr="00E62D79">
        <w:rPr>
          <w:i/>
          <w:iCs/>
          <w:color w:val="FF0000"/>
          <w:sz w:val="20"/>
          <w:szCs w:val="20"/>
        </w:rPr>
        <w:t>(comma così sostituito dall'art. 1, comma 20, lettera o), della legge n. 55 del 2019)</w:t>
      </w:r>
    </w:p>
    <w:p w14:paraId="218D2BE3" w14:textId="77777777" w:rsidR="002F0D34" w:rsidRPr="00E62D79" w:rsidRDefault="00095CA4" w:rsidP="00E62D79">
      <w:pPr>
        <w:pStyle w:val="NormaleWeb"/>
        <w:numPr>
          <w:ilvl w:val="0"/>
          <w:numId w:val="26"/>
        </w:numPr>
        <w:spacing w:before="0" w:beforeAutospacing="0"/>
        <w:ind w:left="714" w:hanging="357"/>
        <w:jc w:val="both"/>
        <w:rPr>
          <w:sz w:val="20"/>
          <w:szCs w:val="20"/>
        </w:rPr>
      </w:pPr>
      <w:r w:rsidRPr="00E62D79">
        <w:rPr>
          <w:sz w:val="20"/>
          <w:szCs w:val="20"/>
        </w:rPr>
        <w:t>perpetua, nei casi in cui alla condanna consegue di diritto la pena accessoria perpetua, ai sensi dell’articolo 317-bis, primo comma, primo periodo, del codice penale, salvo che la pena sia dichiarata estinta ai sensi dell’articolo 179, settimo comma, del codice penale;</w:t>
      </w:r>
    </w:p>
    <w:p w14:paraId="3FD970CB" w14:textId="77777777" w:rsidR="002F0D34" w:rsidRPr="00E62D79" w:rsidRDefault="00095CA4" w:rsidP="00E62D79">
      <w:pPr>
        <w:pStyle w:val="NormaleWeb"/>
        <w:numPr>
          <w:ilvl w:val="0"/>
          <w:numId w:val="26"/>
        </w:numPr>
        <w:spacing w:before="0" w:beforeAutospacing="0"/>
        <w:ind w:left="714" w:hanging="357"/>
        <w:jc w:val="both"/>
        <w:rPr>
          <w:sz w:val="20"/>
          <w:szCs w:val="20"/>
        </w:rPr>
      </w:pPr>
      <w:r w:rsidRPr="00E62D79">
        <w:rPr>
          <w:sz w:val="20"/>
          <w:szCs w:val="20"/>
        </w:rPr>
        <w:t>b) pari a sette anni nei casi previsti dall’articolo 317-bis, primo comma, secondo periodo, del codice penale, salvo che sia intervenuta riabilitazione;</w:t>
      </w:r>
    </w:p>
    <w:p w14:paraId="13C8E09C" w14:textId="77777777" w:rsidR="00095CA4" w:rsidRPr="00E62D79" w:rsidRDefault="00095CA4" w:rsidP="00E62D79">
      <w:pPr>
        <w:pStyle w:val="NormaleWeb"/>
        <w:numPr>
          <w:ilvl w:val="0"/>
          <w:numId w:val="26"/>
        </w:numPr>
        <w:spacing w:before="0" w:beforeAutospacing="0"/>
        <w:ind w:left="714" w:hanging="357"/>
        <w:jc w:val="both"/>
        <w:rPr>
          <w:sz w:val="20"/>
          <w:szCs w:val="20"/>
        </w:rPr>
      </w:pPr>
      <w:r w:rsidRPr="00E62D79">
        <w:rPr>
          <w:sz w:val="20"/>
          <w:szCs w:val="20"/>
        </w:rPr>
        <w:t xml:space="preserve">c) pari a cinque anni nei casi diversi da quelli di cui alle lettere a) e b), salvo che sia intervenuta riabilitazione. </w:t>
      </w:r>
    </w:p>
    <w:p w14:paraId="1C5D7161" w14:textId="77777777" w:rsidR="00E62D79" w:rsidRPr="00E62D79" w:rsidRDefault="00095CA4" w:rsidP="00E62D79">
      <w:pPr>
        <w:pStyle w:val="NormaleWeb"/>
        <w:spacing w:after="0" w:afterAutospacing="0"/>
        <w:ind w:left="425" w:hanging="425"/>
        <w:jc w:val="both"/>
        <w:rPr>
          <w:sz w:val="20"/>
          <w:szCs w:val="20"/>
        </w:rPr>
      </w:pPr>
      <w:r w:rsidRPr="00E62D79">
        <w:rPr>
          <w:sz w:val="20"/>
          <w:szCs w:val="20"/>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r w:rsidR="002F0D34" w:rsidRPr="00E62D79">
        <w:rPr>
          <w:sz w:val="20"/>
          <w:szCs w:val="20"/>
        </w:rPr>
        <w:t xml:space="preserve"> </w:t>
      </w:r>
    </w:p>
    <w:p w14:paraId="47D34C43" w14:textId="77777777" w:rsidR="00095CA4" w:rsidRPr="00E62D79" w:rsidRDefault="00095CA4" w:rsidP="00E62D79">
      <w:pPr>
        <w:pStyle w:val="NormaleWeb"/>
        <w:spacing w:before="0" w:beforeAutospacing="0" w:after="0" w:afterAutospacing="0"/>
        <w:ind w:left="357"/>
        <w:jc w:val="both"/>
        <w:rPr>
          <w:i/>
          <w:iCs/>
          <w:color w:val="FF0000"/>
          <w:sz w:val="20"/>
          <w:szCs w:val="20"/>
        </w:rPr>
      </w:pPr>
      <w:r w:rsidRPr="00E62D79">
        <w:rPr>
          <w:i/>
          <w:iCs/>
          <w:color w:val="FF0000"/>
          <w:sz w:val="20"/>
          <w:szCs w:val="20"/>
        </w:rPr>
        <w:t>(comma introdotto dall'art. 1, comma 20, lettera o), della legge n. 55 del 2019)</w:t>
      </w:r>
    </w:p>
    <w:p w14:paraId="10217EC2" w14:textId="77777777" w:rsidR="00095CA4" w:rsidRPr="00E62D79" w:rsidRDefault="00095CA4" w:rsidP="002F0D34">
      <w:pPr>
        <w:pStyle w:val="NormaleWeb"/>
        <w:numPr>
          <w:ilvl w:val="0"/>
          <w:numId w:val="13"/>
        </w:numPr>
        <w:jc w:val="both"/>
        <w:rPr>
          <w:sz w:val="20"/>
          <w:szCs w:val="20"/>
        </w:rPr>
      </w:pPr>
      <w:r w:rsidRPr="00E62D79">
        <w:rPr>
          <w:sz w:val="20"/>
          <w:szCs w:val="20"/>
        </w:rPr>
        <w:t xml:space="preserve">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14:paraId="700898D6"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14DC4B12" w14:textId="77777777" w:rsidR="00095CA4" w:rsidRPr="00E62D79" w:rsidRDefault="00095CA4" w:rsidP="002F0D34">
      <w:pPr>
        <w:pStyle w:val="NormaleWeb"/>
        <w:numPr>
          <w:ilvl w:val="0"/>
          <w:numId w:val="13"/>
        </w:numPr>
        <w:spacing w:before="240" w:beforeAutospacing="0"/>
        <w:ind w:left="357" w:hanging="357"/>
        <w:jc w:val="both"/>
        <w:rPr>
          <w:strike/>
          <w:sz w:val="20"/>
          <w:szCs w:val="20"/>
        </w:rPr>
      </w:pPr>
      <w:r w:rsidRPr="00E62D79">
        <w:rPr>
          <w:sz w:val="20"/>
          <w:szCs w:val="20"/>
        </w:rPr>
        <w:t xml:space="preserve">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E62D79">
        <w:rPr>
          <w:sz w:val="20"/>
          <w:szCs w:val="20"/>
        </w:rPr>
        <w:t>per la</w:t>
      </w:r>
      <w:proofErr w:type="gramEnd"/>
      <w:r w:rsidRPr="00E62D79">
        <w:rPr>
          <w:sz w:val="20"/>
          <w:szCs w:val="20"/>
        </w:rPr>
        <w:t xml:space="preserve"> dimostrazione delle circostanze di esclusione di cui al comma 5, lettera c), ovvero quali carenze nell'esecuzione di un procedente contratto di appalto siano significative ai fini del medesimo comma 5, lettera c). </w:t>
      </w:r>
    </w:p>
    <w:p w14:paraId="6238B8CB"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lastRenderedPageBreak/>
        <w:t>Non possono essere affidatari di subappalti e non possono stipulare i relativi contratti i soggetti per i quali ricorrano i motivi di esclusione previsti dal presente articolo.</w:t>
      </w:r>
    </w:p>
    <w:p w14:paraId="351639FC" w14:textId="77777777" w:rsidR="00095CA4" w:rsidRPr="00E62D79" w:rsidRDefault="00095CA4" w:rsidP="00A87C55">
      <w:pPr>
        <w:adjustRightInd w:val="0"/>
        <w:spacing w:before="100" w:beforeAutospacing="1" w:after="100" w:afterAutospacing="1"/>
        <w:jc w:val="both"/>
        <w:rPr>
          <w:rFonts w:ascii="Times New Roman" w:eastAsia="Times New Roman" w:hAnsi="Times New Roman" w:cs="Times New Roman"/>
          <w:b/>
          <w:sz w:val="24"/>
          <w:szCs w:val="24"/>
          <w:lang w:eastAsia="zh-CN"/>
        </w:rPr>
      </w:pPr>
    </w:p>
    <w:p w14:paraId="30BB4427" w14:textId="77777777" w:rsidR="00895B3B" w:rsidRPr="00E62D79" w:rsidRDefault="00895B3B" w:rsidP="00A87C55">
      <w:pPr>
        <w:adjustRightInd w:val="0"/>
        <w:spacing w:before="100" w:beforeAutospacing="1" w:after="100" w:afterAutospacing="1"/>
        <w:jc w:val="both"/>
        <w:rPr>
          <w:rFonts w:ascii="Times New Roman" w:eastAsia="Times New Roman" w:hAnsi="Times New Roman" w:cs="Times New Roman"/>
          <w:i/>
          <w:iCs/>
          <w:sz w:val="24"/>
          <w:szCs w:val="24"/>
        </w:rPr>
      </w:pPr>
      <w:r w:rsidRPr="00E62D79">
        <w:rPr>
          <w:rFonts w:ascii="Times New Roman" w:eastAsia="Times New Roman" w:hAnsi="Times New Roman" w:cs="Times New Roman"/>
          <w:b/>
          <w:sz w:val="24"/>
          <w:szCs w:val="24"/>
          <w:lang w:eastAsia="zh-CN"/>
        </w:rPr>
        <w:t xml:space="preserve">Informativa ai sensi dell’art. 13 del Regolamento </w:t>
      </w:r>
      <w:r w:rsidRPr="00E62D79">
        <w:rPr>
          <w:rFonts w:ascii="Times New Roman" w:eastAsia="Times New Roman" w:hAnsi="Times New Roman" w:cs="Times New Roman"/>
          <w:b/>
          <w:iCs/>
          <w:sz w:val="24"/>
          <w:szCs w:val="24"/>
        </w:rPr>
        <w:t>27 aprile 2016, n.2016/679/UE</w:t>
      </w:r>
      <w:r w:rsidRPr="00E62D79">
        <w:rPr>
          <w:rFonts w:ascii="Times New Roman" w:eastAsia="Times New Roman" w:hAnsi="Times New Roman" w:cs="Times New Roman"/>
          <w:iCs/>
          <w:sz w:val="24"/>
          <w:szCs w:val="24"/>
        </w:rPr>
        <w:t>: Si informa il dichiarante che</w:t>
      </w:r>
      <w:r w:rsidRPr="00E62D79">
        <w:rPr>
          <w:rFonts w:ascii="Times New Roman" w:eastAsia="Times New Roman" w:hAnsi="Times New Roman" w:cs="Times New Roman"/>
          <w:sz w:val="24"/>
          <w:szCs w:val="24"/>
          <w:lang w:eastAsia="zh-CN"/>
        </w:rPr>
        <w:t xml:space="preserve"> i dati personali forniti con la presente dichiarazione saranno trattati dall’INAF, conformemente alla normativa su richiamata, per l’espletamento del procedimento in esame e verranno utilizzati esclusivamente per tale scopo. Per ulteriori chiarimenti contattare il Responsabile della Protezione dei Dati dell’Istituto Nazionale di Astrofisica al seguente indirizzo email: </w:t>
      </w:r>
      <w:hyperlink r:id="rId8" w:history="1">
        <w:r w:rsidRPr="00E62D79">
          <w:rPr>
            <w:rFonts w:ascii="Times New Roman" w:eastAsia="Times New Roman" w:hAnsi="Times New Roman" w:cs="Times New Roman"/>
            <w:sz w:val="24"/>
            <w:szCs w:val="24"/>
            <w:u w:val="single"/>
            <w:lang w:eastAsia="zh-CN"/>
          </w:rPr>
          <w:t>rpd@inaf.it</w:t>
        </w:r>
      </w:hyperlink>
      <w:r w:rsidRPr="00E62D79">
        <w:rPr>
          <w:rFonts w:ascii="Times New Roman" w:eastAsia="Times New Roman" w:hAnsi="Times New Roman" w:cs="Times New Roman"/>
          <w:sz w:val="24"/>
          <w:szCs w:val="24"/>
          <w:lang w:eastAsia="zh-CN"/>
        </w:rPr>
        <w:t xml:space="preserve">, oppure tramite posta certificata: </w:t>
      </w:r>
      <w:hyperlink r:id="rId9" w:history="1">
        <w:r w:rsidRPr="00E62D79">
          <w:rPr>
            <w:rFonts w:ascii="Times New Roman" w:eastAsia="Times New Roman" w:hAnsi="Times New Roman" w:cs="Times New Roman"/>
            <w:sz w:val="24"/>
            <w:szCs w:val="24"/>
            <w:u w:val="single"/>
            <w:lang w:eastAsia="zh-CN"/>
          </w:rPr>
          <w:t>rpd-inaf@legalmail.it</w:t>
        </w:r>
      </w:hyperlink>
      <w:r w:rsidRPr="00E62D79">
        <w:rPr>
          <w:rFonts w:ascii="Times New Roman" w:eastAsia="Times New Roman" w:hAnsi="Times New Roman" w:cs="Times New Roman"/>
          <w:sz w:val="24"/>
          <w:szCs w:val="24"/>
          <w:lang w:eastAsia="zh-CN"/>
        </w:rPr>
        <w:t xml:space="preserve">, o con raccomandata a/r: Viale del Parco </w:t>
      </w:r>
      <w:proofErr w:type="spellStart"/>
      <w:r w:rsidRPr="00E62D79">
        <w:rPr>
          <w:rFonts w:ascii="Times New Roman" w:eastAsia="Times New Roman" w:hAnsi="Times New Roman" w:cs="Times New Roman"/>
          <w:sz w:val="24"/>
          <w:szCs w:val="24"/>
          <w:lang w:eastAsia="zh-CN"/>
        </w:rPr>
        <w:t>Mellini</w:t>
      </w:r>
      <w:proofErr w:type="spellEnd"/>
      <w:r w:rsidRPr="00E62D79">
        <w:rPr>
          <w:rFonts w:ascii="Times New Roman" w:eastAsia="Times New Roman" w:hAnsi="Times New Roman" w:cs="Times New Roman"/>
          <w:sz w:val="24"/>
          <w:szCs w:val="24"/>
          <w:lang w:eastAsia="zh-CN"/>
        </w:rPr>
        <w:t>, 84-00136 Roma</w:t>
      </w:r>
    </w:p>
    <w:p w14:paraId="1B324A36" w14:textId="77777777" w:rsidR="00895B3B" w:rsidRPr="00E62D79" w:rsidRDefault="00895B3B" w:rsidP="00A87C55">
      <w:pPr>
        <w:adjustRightInd w:val="0"/>
        <w:spacing w:before="100" w:beforeAutospacing="1" w:after="100" w:afterAutospacing="1"/>
        <w:jc w:val="both"/>
        <w:rPr>
          <w:rFonts w:ascii="Times New Roman" w:eastAsia="Times New Roman" w:hAnsi="Times New Roman" w:cs="Times New Roman"/>
          <w:sz w:val="24"/>
          <w:szCs w:val="24"/>
          <w:lang w:eastAsia="zh-CN"/>
        </w:rPr>
      </w:pPr>
    </w:p>
    <w:p w14:paraId="7355BC60" w14:textId="77777777" w:rsidR="00895B3B" w:rsidRPr="00E62D79" w:rsidRDefault="00895B3B" w:rsidP="00A87C55">
      <w:pPr>
        <w:adjustRightInd w:val="0"/>
        <w:spacing w:before="100" w:beforeAutospacing="1" w:after="100" w:afterAutospacing="1"/>
        <w:jc w:val="both"/>
        <w:rPr>
          <w:rFonts w:ascii="Times New Roman" w:eastAsia="Times New Roman" w:hAnsi="Times New Roman" w:cs="Times New Roman"/>
          <w:sz w:val="24"/>
          <w:szCs w:val="24"/>
          <w:lang w:eastAsia="zh-CN"/>
        </w:rPr>
      </w:pPr>
    </w:p>
    <w:p w14:paraId="3B28A902" w14:textId="77777777" w:rsidR="00434F83" w:rsidRPr="00E62D79" w:rsidRDefault="00A37182" w:rsidP="00A87C55">
      <w:pPr>
        <w:pStyle w:val="Corpotesto"/>
        <w:tabs>
          <w:tab w:val="left" w:pos="4012"/>
          <w:tab w:val="left" w:pos="7609"/>
        </w:tabs>
        <w:spacing w:before="100" w:beforeAutospacing="1" w:after="100" w:afterAutospacing="1"/>
        <w:jc w:val="both"/>
        <w:rPr>
          <w:rFonts w:ascii="Times New Roman" w:hAnsi="Times New Roman" w:cs="Times New Roman"/>
          <w:sz w:val="24"/>
          <w:szCs w:val="24"/>
        </w:rPr>
      </w:pPr>
      <w:r w:rsidRPr="00E62D79">
        <w:rPr>
          <w:rFonts w:ascii="Times New Roman" w:hAnsi="Times New Roman" w:cs="Times New Roman"/>
          <w:sz w:val="24"/>
          <w:szCs w:val="24"/>
        </w:rPr>
        <w:t>Luogo e</w:t>
      </w:r>
      <w:r w:rsidRPr="00E62D79">
        <w:rPr>
          <w:rFonts w:ascii="Times New Roman" w:hAnsi="Times New Roman" w:cs="Times New Roman"/>
          <w:spacing w:val="-5"/>
          <w:sz w:val="24"/>
          <w:szCs w:val="24"/>
        </w:rPr>
        <w:t xml:space="preserve"> </w:t>
      </w:r>
      <w:r w:rsidRPr="00E62D79">
        <w:rPr>
          <w:rFonts w:ascii="Times New Roman" w:hAnsi="Times New Roman" w:cs="Times New Roman"/>
          <w:spacing w:val="-3"/>
          <w:sz w:val="24"/>
          <w:szCs w:val="24"/>
        </w:rPr>
        <w:t>data,</w:t>
      </w:r>
      <w:r w:rsidRPr="00E62D79">
        <w:rPr>
          <w:rFonts w:ascii="Times New Roman" w:hAnsi="Times New Roman" w:cs="Times New Roman"/>
          <w:spacing w:val="-4"/>
          <w:sz w:val="24"/>
          <w:szCs w:val="24"/>
        </w:rPr>
        <w:t xml:space="preserve"> </w:t>
      </w:r>
      <w:r w:rsidRPr="00E62D79">
        <w:rPr>
          <w:rFonts w:ascii="Times New Roman" w:hAnsi="Times New Roman" w:cs="Times New Roman"/>
          <w:spacing w:val="4"/>
          <w:sz w:val="24"/>
          <w:szCs w:val="24"/>
        </w:rPr>
        <w:t>_</w:t>
      </w:r>
      <w:r w:rsidRPr="00E62D79">
        <w:rPr>
          <w:rFonts w:ascii="Times New Roman" w:hAnsi="Times New Roman" w:cs="Times New Roman"/>
          <w:spacing w:val="4"/>
          <w:sz w:val="24"/>
          <w:szCs w:val="24"/>
          <w:u w:val="single" w:color="001E5E"/>
        </w:rPr>
        <w:t xml:space="preserve"> </w:t>
      </w:r>
      <w:r w:rsidRPr="00E62D79">
        <w:rPr>
          <w:rFonts w:ascii="Times New Roman" w:hAnsi="Times New Roman" w:cs="Times New Roman"/>
          <w:spacing w:val="4"/>
          <w:sz w:val="24"/>
          <w:szCs w:val="24"/>
          <w:u w:val="single" w:color="001E5E"/>
        </w:rPr>
        <w:tab/>
      </w:r>
      <w:r w:rsidRPr="00E62D79">
        <w:rPr>
          <w:rFonts w:ascii="Times New Roman" w:hAnsi="Times New Roman" w:cs="Times New Roman"/>
          <w:spacing w:val="4"/>
          <w:sz w:val="24"/>
          <w:szCs w:val="24"/>
        </w:rPr>
        <w:tab/>
      </w:r>
      <w:r w:rsidRPr="00E62D79">
        <w:rPr>
          <w:rFonts w:ascii="Times New Roman" w:hAnsi="Times New Roman" w:cs="Times New Roman"/>
          <w:spacing w:val="-3"/>
          <w:sz w:val="24"/>
          <w:szCs w:val="24"/>
        </w:rPr>
        <w:t>Firma</w:t>
      </w:r>
    </w:p>
    <w:p w14:paraId="21E88E91"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71B2062C" w14:textId="77777777" w:rsidR="00434F83" w:rsidRPr="00E62D79" w:rsidRDefault="008D3733" w:rsidP="00A87C55">
      <w:pPr>
        <w:pStyle w:val="Corpotesto"/>
        <w:spacing w:before="100" w:beforeAutospacing="1" w:after="100" w:afterAutospacing="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39CDCFCA" wp14:editId="27A93BBF">
                <wp:simplePos x="0" y="0"/>
                <wp:positionH relativeFrom="page">
                  <wp:posOffset>4395470</wp:posOffset>
                </wp:positionH>
                <wp:positionV relativeFrom="paragraph">
                  <wp:posOffset>123825</wp:posOffset>
                </wp:positionV>
                <wp:extent cx="21018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658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5D1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1pt,9.75pt" to="511.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" strokecolor="#001e5e" strokeweight=".18303mm">
                <w10:wrap type="topAndBottom" anchorx="page"/>
              </v:line>
            </w:pict>
          </mc:Fallback>
        </mc:AlternateContent>
      </w:r>
    </w:p>
    <w:p w14:paraId="55A3BA59"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0530C59F"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3B1A1DB5"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73F28463" w14:textId="77777777" w:rsidR="00095CA4" w:rsidRPr="00E62D79" w:rsidRDefault="00095CA4" w:rsidP="00A87C55">
      <w:pPr>
        <w:adjustRightInd w:val="0"/>
        <w:spacing w:before="100" w:beforeAutospacing="1" w:after="100" w:afterAutospacing="1"/>
        <w:jc w:val="both"/>
        <w:rPr>
          <w:rFonts w:ascii="Times New Roman" w:eastAsia="Times New Roman" w:hAnsi="Times New Roman" w:cs="Times New Roman"/>
          <w:i/>
          <w:iCs/>
          <w:sz w:val="24"/>
          <w:szCs w:val="24"/>
        </w:rPr>
      </w:pPr>
      <w:r w:rsidRPr="00E62D79">
        <w:rPr>
          <w:rFonts w:ascii="Times New Roman" w:eastAsia="Times New Roman" w:hAnsi="Times New Roman" w:cs="Times New Roman"/>
          <w:sz w:val="24"/>
          <w:szCs w:val="24"/>
          <w:lang w:eastAsia="zh-CN"/>
        </w:rPr>
        <w:t>N.B. In mancanza di firma digitale, allegare documento d’identità del Titolare o del Legale Ra</w:t>
      </w:r>
      <w:r w:rsidR="002F0D34" w:rsidRPr="00E62D79">
        <w:rPr>
          <w:rFonts w:ascii="Times New Roman" w:eastAsia="Times New Roman" w:hAnsi="Times New Roman" w:cs="Times New Roman"/>
          <w:sz w:val="24"/>
          <w:szCs w:val="24"/>
          <w:lang w:eastAsia="zh-CN"/>
        </w:rPr>
        <w:t>ppresentante</w:t>
      </w:r>
    </w:p>
    <w:sectPr w:rsidR="00095CA4" w:rsidRPr="00E62D79" w:rsidSect="00E62D79">
      <w:footerReference w:type="even" r:id="rId10"/>
      <w:footerReference w:type="default" r:id="rId11"/>
      <w:type w:val="continuous"/>
      <w:pgSz w:w="12240" w:h="15840"/>
      <w:pgMar w:top="980" w:right="1060" w:bottom="1303" w:left="10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B3AA" w14:textId="77777777" w:rsidR="00602833" w:rsidRDefault="00602833" w:rsidP="009D6035">
      <w:r>
        <w:separator/>
      </w:r>
    </w:p>
  </w:endnote>
  <w:endnote w:type="continuationSeparator" w:id="0">
    <w:p w14:paraId="5109B596" w14:textId="77777777" w:rsidR="00602833" w:rsidRDefault="00602833" w:rsidP="009D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F09" w14:textId="77777777" w:rsidR="009D6035" w:rsidRDefault="009D6035" w:rsidP="004A4D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CCB4AF" w14:textId="77777777" w:rsidR="009D6035" w:rsidRDefault="009D6035" w:rsidP="009D603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58F0" w14:textId="77777777" w:rsidR="009D6035" w:rsidRDefault="009D6035" w:rsidP="004A4D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0A29">
      <w:rPr>
        <w:rStyle w:val="Numeropagina"/>
        <w:noProof/>
      </w:rPr>
      <w:t>1</w:t>
    </w:r>
    <w:r>
      <w:rPr>
        <w:rStyle w:val="Numeropagina"/>
      </w:rPr>
      <w:fldChar w:fldCharType="end"/>
    </w:r>
  </w:p>
  <w:p w14:paraId="5FDCB64B" w14:textId="77777777" w:rsidR="009D6035" w:rsidRDefault="009D6035" w:rsidP="009D603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C76D" w14:textId="77777777" w:rsidR="00602833" w:rsidRDefault="00602833" w:rsidP="009D6035">
      <w:r>
        <w:separator/>
      </w:r>
    </w:p>
  </w:footnote>
  <w:footnote w:type="continuationSeparator" w:id="0">
    <w:p w14:paraId="00E3596E" w14:textId="77777777" w:rsidR="00602833" w:rsidRDefault="00602833" w:rsidP="009D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FBC"/>
    <w:multiLevelType w:val="hybridMultilevel"/>
    <w:tmpl w:val="575CDD9E"/>
    <w:lvl w:ilvl="0" w:tplc="DBD406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E2D40"/>
    <w:multiLevelType w:val="hybridMultilevel"/>
    <w:tmpl w:val="62CEF536"/>
    <w:lvl w:ilvl="0" w:tplc="DBD406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864248"/>
    <w:multiLevelType w:val="multilevel"/>
    <w:tmpl w:val="8300F9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E53D0A"/>
    <w:multiLevelType w:val="hybridMultilevel"/>
    <w:tmpl w:val="E1FAEAAE"/>
    <w:lvl w:ilvl="0" w:tplc="020CDA3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DF114D"/>
    <w:multiLevelType w:val="hybridMultilevel"/>
    <w:tmpl w:val="F69C84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8273C4"/>
    <w:multiLevelType w:val="hybridMultilevel"/>
    <w:tmpl w:val="BEC64A68"/>
    <w:lvl w:ilvl="0" w:tplc="F7DC5F86">
      <w:start w:val="1"/>
      <w:numFmt w:val="decimal"/>
      <w:lvlText w:val="%1."/>
      <w:lvlJc w:val="left"/>
      <w:pPr>
        <w:ind w:left="454" w:hanging="341"/>
      </w:pPr>
      <w:rPr>
        <w:rFonts w:ascii="Verdana" w:eastAsia="Verdana" w:hAnsi="Verdana" w:cs="Verdana" w:hint="default"/>
        <w:color w:val="001F5F"/>
        <w:spacing w:val="-1"/>
        <w:w w:val="99"/>
        <w:sz w:val="19"/>
        <w:szCs w:val="19"/>
        <w:lang w:val="it-IT" w:eastAsia="it-IT" w:bidi="it-IT"/>
      </w:rPr>
    </w:lvl>
    <w:lvl w:ilvl="1" w:tplc="F1109FA6">
      <w:numFmt w:val="bullet"/>
      <w:lvlText w:val="•"/>
      <w:lvlJc w:val="left"/>
      <w:pPr>
        <w:ind w:left="1432" w:hanging="341"/>
      </w:pPr>
      <w:rPr>
        <w:rFonts w:hint="default"/>
        <w:lang w:val="it-IT" w:eastAsia="it-IT" w:bidi="it-IT"/>
      </w:rPr>
    </w:lvl>
    <w:lvl w:ilvl="2" w:tplc="1A6285B8">
      <w:numFmt w:val="bullet"/>
      <w:lvlText w:val="•"/>
      <w:lvlJc w:val="left"/>
      <w:pPr>
        <w:ind w:left="2404" w:hanging="341"/>
      </w:pPr>
      <w:rPr>
        <w:rFonts w:hint="default"/>
        <w:lang w:val="it-IT" w:eastAsia="it-IT" w:bidi="it-IT"/>
      </w:rPr>
    </w:lvl>
    <w:lvl w:ilvl="3" w:tplc="8B12942E">
      <w:numFmt w:val="bullet"/>
      <w:lvlText w:val="•"/>
      <w:lvlJc w:val="left"/>
      <w:pPr>
        <w:ind w:left="3376" w:hanging="341"/>
      </w:pPr>
      <w:rPr>
        <w:rFonts w:hint="default"/>
        <w:lang w:val="it-IT" w:eastAsia="it-IT" w:bidi="it-IT"/>
      </w:rPr>
    </w:lvl>
    <w:lvl w:ilvl="4" w:tplc="27984AF0">
      <w:numFmt w:val="bullet"/>
      <w:lvlText w:val="•"/>
      <w:lvlJc w:val="left"/>
      <w:pPr>
        <w:ind w:left="4348" w:hanging="341"/>
      </w:pPr>
      <w:rPr>
        <w:rFonts w:hint="default"/>
        <w:lang w:val="it-IT" w:eastAsia="it-IT" w:bidi="it-IT"/>
      </w:rPr>
    </w:lvl>
    <w:lvl w:ilvl="5" w:tplc="59104C6E">
      <w:numFmt w:val="bullet"/>
      <w:lvlText w:val="•"/>
      <w:lvlJc w:val="left"/>
      <w:pPr>
        <w:ind w:left="5320" w:hanging="341"/>
      </w:pPr>
      <w:rPr>
        <w:rFonts w:hint="default"/>
        <w:lang w:val="it-IT" w:eastAsia="it-IT" w:bidi="it-IT"/>
      </w:rPr>
    </w:lvl>
    <w:lvl w:ilvl="6" w:tplc="AC72187C">
      <w:numFmt w:val="bullet"/>
      <w:lvlText w:val="•"/>
      <w:lvlJc w:val="left"/>
      <w:pPr>
        <w:ind w:left="6292" w:hanging="341"/>
      </w:pPr>
      <w:rPr>
        <w:rFonts w:hint="default"/>
        <w:lang w:val="it-IT" w:eastAsia="it-IT" w:bidi="it-IT"/>
      </w:rPr>
    </w:lvl>
    <w:lvl w:ilvl="7" w:tplc="D3143A4A">
      <w:numFmt w:val="bullet"/>
      <w:lvlText w:val="•"/>
      <w:lvlJc w:val="left"/>
      <w:pPr>
        <w:ind w:left="7264" w:hanging="341"/>
      </w:pPr>
      <w:rPr>
        <w:rFonts w:hint="default"/>
        <w:lang w:val="it-IT" w:eastAsia="it-IT" w:bidi="it-IT"/>
      </w:rPr>
    </w:lvl>
    <w:lvl w:ilvl="8" w:tplc="8C645F08">
      <w:numFmt w:val="bullet"/>
      <w:lvlText w:val="•"/>
      <w:lvlJc w:val="left"/>
      <w:pPr>
        <w:ind w:left="8236" w:hanging="341"/>
      </w:pPr>
      <w:rPr>
        <w:rFonts w:hint="default"/>
        <w:lang w:val="it-IT" w:eastAsia="it-IT" w:bidi="it-IT"/>
      </w:rPr>
    </w:lvl>
  </w:abstractNum>
  <w:abstractNum w:abstractNumId="6" w15:restartNumberingAfterBreak="0">
    <w:nsid w:val="26FE21D6"/>
    <w:multiLevelType w:val="hybridMultilevel"/>
    <w:tmpl w:val="7B2261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9CD3F18"/>
    <w:multiLevelType w:val="hybridMultilevel"/>
    <w:tmpl w:val="28E8AFB6"/>
    <w:lvl w:ilvl="0" w:tplc="C44C51CE">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BB83D7E"/>
    <w:multiLevelType w:val="hybridMultilevel"/>
    <w:tmpl w:val="1B840BE6"/>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333416A"/>
    <w:multiLevelType w:val="hybridMultilevel"/>
    <w:tmpl w:val="05FAB5B0"/>
    <w:lvl w:ilvl="0" w:tplc="C6FC561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7210BC"/>
    <w:multiLevelType w:val="hybridMultilevel"/>
    <w:tmpl w:val="39723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932667"/>
    <w:multiLevelType w:val="hybridMultilevel"/>
    <w:tmpl w:val="D0D048F4"/>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BB42FA"/>
    <w:multiLevelType w:val="multilevel"/>
    <w:tmpl w:val="7D4A084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E64F43"/>
    <w:multiLevelType w:val="multilevel"/>
    <w:tmpl w:val="28E8AFB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856798"/>
    <w:multiLevelType w:val="hybridMultilevel"/>
    <w:tmpl w:val="7CE02CB8"/>
    <w:lvl w:ilvl="0" w:tplc="DBD406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8B6023"/>
    <w:multiLevelType w:val="multilevel"/>
    <w:tmpl w:val="7CE02CB8"/>
    <w:lvl w:ilvl="0">
      <w:start w:val="1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64CF"/>
    <w:multiLevelType w:val="hybridMultilevel"/>
    <w:tmpl w:val="5DD89C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8429A8"/>
    <w:multiLevelType w:val="hybridMultilevel"/>
    <w:tmpl w:val="78860F14"/>
    <w:lvl w:ilvl="0" w:tplc="B298DD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8E34D1"/>
    <w:multiLevelType w:val="multilevel"/>
    <w:tmpl w:val="28E8AFB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4209BE"/>
    <w:multiLevelType w:val="hybridMultilevel"/>
    <w:tmpl w:val="8102CB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470D41"/>
    <w:multiLevelType w:val="hybridMultilevel"/>
    <w:tmpl w:val="47E0F252"/>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126C80"/>
    <w:multiLevelType w:val="hybridMultilevel"/>
    <w:tmpl w:val="4AF89ADC"/>
    <w:lvl w:ilvl="0" w:tplc="B37AC62A">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3892B5F"/>
    <w:multiLevelType w:val="multilevel"/>
    <w:tmpl w:val="8EC2109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5952384"/>
    <w:multiLevelType w:val="hybridMultilevel"/>
    <w:tmpl w:val="8300F956"/>
    <w:lvl w:ilvl="0" w:tplc="6B4CAD94">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C437023"/>
    <w:multiLevelType w:val="multilevel"/>
    <w:tmpl w:val="8300F9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EE576F6"/>
    <w:multiLevelType w:val="hybridMultilevel"/>
    <w:tmpl w:val="1F764A82"/>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3"/>
  </w:num>
  <w:num w:numId="3">
    <w:abstractNumId w:val="9"/>
  </w:num>
  <w:num w:numId="4">
    <w:abstractNumId w:val="6"/>
  </w:num>
  <w:num w:numId="5">
    <w:abstractNumId w:val="8"/>
  </w:num>
  <w:num w:numId="6">
    <w:abstractNumId w:val="25"/>
  </w:num>
  <w:num w:numId="7">
    <w:abstractNumId w:val="20"/>
  </w:num>
  <w:num w:numId="8">
    <w:abstractNumId w:val="11"/>
  </w:num>
  <w:num w:numId="9">
    <w:abstractNumId w:val="10"/>
  </w:num>
  <w:num w:numId="10">
    <w:abstractNumId w:val="7"/>
  </w:num>
  <w:num w:numId="11">
    <w:abstractNumId w:val="22"/>
  </w:num>
  <w:num w:numId="12">
    <w:abstractNumId w:val="18"/>
  </w:num>
  <w:num w:numId="13">
    <w:abstractNumId w:val="21"/>
  </w:num>
  <w:num w:numId="14">
    <w:abstractNumId w:val="13"/>
  </w:num>
  <w:num w:numId="15">
    <w:abstractNumId w:val="23"/>
  </w:num>
  <w:num w:numId="16">
    <w:abstractNumId w:val="24"/>
  </w:num>
  <w:num w:numId="17">
    <w:abstractNumId w:val="2"/>
  </w:num>
  <w:num w:numId="18">
    <w:abstractNumId w:val="19"/>
  </w:num>
  <w:num w:numId="19">
    <w:abstractNumId w:val="16"/>
  </w:num>
  <w:num w:numId="20">
    <w:abstractNumId w:val="4"/>
  </w:num>
  <w:num w:numId="21">
    <w:abstractNumId w:val="0"/>
  </w:num>
  <w:num w:numId="22">
    <w:abstractNumId w:val="12"/>
  </w:num>
  <w:num w:numId="23">
    <w:abstractNumId w:val="14"/>
  </w:num>
  <w:num w:numId="24">
    <w:abstractNumId w:val="1"/>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83"/>
    <w:rsid w:val="00095CA4"/>
    <w:rsid w:val="00141712"/>
    <w:rsid w:val="001440DB"/>
    <w:rsid w:val="0023115E"/>
    <w:rsid w:val="0023137A"/>
    <w:rsid w:val="00264661"/>
    <w:rsid w:val="002F0D34"/>
    <w:rsid w:val="003E7BEE"/>
    <w:rsid w:val="00434F83"/>
    <w:rsid w:val="004A4DE4"/>
    <w:rsid w:val="0051216E"/>
    <w:rsid w:val="00514096"/>
    <w:rsid w:val="00570368"/>
    <w:rsid w:val="005F5B0B"/>
    <w:rsid w:val="00602833"/>
    <w:rsid w:val="0076092F"/>
    <w:rsid w:val="0079327C"/>
    <w:rsid w:val="008949A6"/>
    <w:rsid w:val="00895B3B"/>
    <w:rsid w:val="008D3733"/>
    <w:rsid w:val="008D6038"/>
    <w:rsid w:val="008E3CFF"/>
    <w:rsid w:val="0097600E"/>
    <w:rsid w:val="009B3268"/>
    <w:rsid w:val="009D6035"/>
    <w:rsid w:val="009F5E77"/>
    <w:rsid w:val="00A37182"/>
    <w:rsid w:val="00A6697E"/>
    <w:rsid w:val="00A87C55"/>
    <w:rsid w:val="00AC2384"/>
    <w:rsid w:val="00AF6570"/>
    <w:rsid w:val="00BE4265"/>
    <w:rsid w:val="00C30ED3"/>
    <w:rsid w:val="00C90A29"/>
    <w:rsid w:val="00D16D6E"/>
    <w:rsid w:val="00D222E1"/>
    <w:rsid w:val="00D55E17"/>
    <w:rsid w:val="00E62D79"/>
    <w:rsid w:val="00EB1189"/>
    <w:rsid w:val="00ED7453"/>
    <w:rsid w:val="00F46369"/>
    <w:rsid w:val="00FB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E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e">
    <w:name w:val="Normal"/>
    <w:qFormat/>
    <w:pPr>
      <w:widowControl w:val="0"/>
      <w:autoSpaceDE w:val="0"/>
      <w:autoSpaceDN w:val="0"/>
    </w:pPr>
    <w:rPr>
      <w:rFonts w:ascii="Verdana" w:eastAsia="Verdana" w:hAnsi="Verdana" w:cs="Verdana"/>
      <w:sz w:val="22"/>
      <w:szCs w:val="22"/>
      <w:lang w:bidi="it-IT"/>
    </w:rPr>
  </w:style>
  <w:style w:type="paragraph" w:styleId="Titolo1">
    <w:name w:val="heading 1"/>
    <w:basedOn w:val="Normale"/>
    <w:uiPriority w:val="9"/>
    <w:qFormat/>
    <w:pPr>
      <w:ind w:left="454" w:right="665"/>
      <w:outlineLvl w:val="0"/>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customStyle="1" w:styleId="Elencoacolori-Colore11">
    <w:name w:val="Elenco a colori - Colore 11"/>
    <w:basedOn w:val="Normale"/>
    <w:uiPriority w:val="1"/>
    <w:qFormat/>
    <w:pPr>
      <w:spacing w:before="1"/>
      <w:ind w:left="454" w:hanging="342"/>
    </w:pPr>
  </w:style>
  <w:style w:type="paragraph" w:customStyle="1" w:styleId="TableParagraph">
    <w:name w:val="Table Paragraph"/>
    <w:basedOn w:val="Normale"/>
    <w:uiPriority w:val="1"/>
    <w:qFormat/>
  </w:style>
  <w:style w:type="character" w:styleId="Collegamentoipertestuale">
    <w:name w:val="Hyperlink"/>
    <w:uiPriority w:val="99"/>
    <w:semiHidden/>
    <w:unhideWhenUsed/>
    <w:rsid w:val="00514096"/>
    <w:rPr>
      <w:color w:val="0000FF"/>
      <w:u w:val="single"/>
    </w:rPr>
  </w:style>
  <w:style w:type="paragraph" w:styleId="NormaleWeb">
    <w:name w:val="Normal (Web)"/>
    <w:basedOn w:val="Normale"/>
    <w:uiPriority w:val="99"/>
    <w:unhideWhenUsed/>
    <w:rsid w:val="00095CA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9D6035"/>
    <w:pPr>
      <w:tabs>
        <w:tab w:val="center" w:pos="4819"/>
        <w:tab w:val="right" w:pos="9638"/>
      </w:tabs>
    </w:pPr>
  </w:style>
  <w:style w:type="character" w:customStyle="1" w:styleId="IntestazioneCarattere">
    <w:name w:val="Intestazione Carattere"/>
    <w:link w:val="Intestazione"/>
    <w:uiPriority w:val="99"/>
    <w:rsid w:val="009D6035"/>
    <w:rPr>
      <w:rFonts w:ascii="Verdana" w:eastAsia="Verdana" w:hAnsi="Verdana" w:cs="Verdana"/>
      <w:sz w:val="22"/>
      <w:szCs w:val="22"/>
      <w:lang w:bidi="it-IT"/>
    </w:rPr>
  </w:style>
  <w:style w:type="paragraph" w:styleId="Pidipagina">
    <w:name w:val="footer"/>
    <w:basedOn w:val="Normale"/>
    <w:link w:val="PidipaginaCarattere"/>
    <w:uiPriority w:val="99"/>
    <w:unhideWhenUsed/>
    <w:rsid w:val="009D6035"/>
    <w:pPr>
      <w:tabs>
        <w:tab w:val="center" w:pos="4819"/>
        <w:tab w:val="right" w:pos="9638"/>
      </w:tabs>
    </w:pPr>
  </w:style>
  <w:style w:type="character" w:customStyle="1" w:styleId="PidipaginaCarattere">
    <w:name w:val="Piè di pagina Carattere"/>
    <w:link w:val="Pidipagina"/>
    <w:uiPriority w:val="99"/>
    <w:rsid w:val="009D6035"/>
    <w:rPr>
      <w:rFonts w:ascii="Verdana" w:eastAsia="Verdana" w:hAnsi="Verdana" w:cs="Verdana"/>
      <w:sz w:val="22"/>
      <w:szCs w:val="22"/>
      <w:lang w:bidi="it-IT"/>
    </w:rPr>
  </w:style>
  <w:style w:type="character" w:styleId="Numeropagina">
    <w:name w:val="page number"/>
    <w:uiPriority w:val="99"/>
    <w:semiHidden/>
    <w:unhideWhenUsed/>
    <w:rsid w:val="009D6035"/>
  </w:style>
  <w:style w:type="character" w:styleId="Collegamentovisitato">
    <w:name w:val="FollowedHyperlink"/>
    <w:uiPriority w:val="99"/>
    <w:semiHidden/>
    <w:unhideWhenUsed/>
    <w:rsid w:val="008D6038"/>
    <w:rPr>
      <w:color w:val="954F72"/>
      <w:u w:val="single"/>
    </w:rPr>
  </w:style>
  <w:style w:type="character" w:styleId="Rimandocommento">
    <w:name w:val="annotation reference"/>
    <w:uiPriority w:val="99"/>
    <w:semiHidden/>
    <w:unhideWhenUsed/>
    <w:rsid w:val="00EB1189"/>
    <w:rPr>
      <w:sz w:val="16"/>
      <w:szCs w:val="16"/>
    </w:rPr>
  </w:style>
  <w:style w:type="paragraph" w:styleId="Testocommento">
    <w:name w:val="annotation text"/>
    <w:basedOn w:val="Normale"/>
    <w:link w:val="TestocommentoCarattere"/>
    <w:uiPriority w:val="99"/>
    <w:semiHidden/>
    <w:unhideWhenUsed/>
    <w:rsid w:val="00EB1189"/>
    <w:rPr>
      <w:sz w:val="20"/>
      <w:szCs w:val="20"/>
    </w:rPr>
  </w:style>
  <w:style w:type="character" w:customStyle="1" w:styleId="TestocommentoCarattere">
    <w:name w:val="Testo commento Carattere"/>
    <w:link w:val="Testocommento"/>
    <w:uiPriority w:val="99"/>
    <w:semiHidden/>
    <w:rsid w:val="00EB1189"/>
    <w:rPr>
      <w:rFonts w:ascii="Verdana" w:eastAsia="Verdana" w:hAnsi="Verdana" w:cs="Verdana"/>
      <w:lang w:bidi="it-IT"/>
    </w:rPr>
  </w:style>
  <w:style w:type="paragraph" w:styleId="Soggettocommento">
    <w:name w:val="annotation subject"/>
    <w:basedOn w:val="Testocommento"/>
    <w:next w:val="Testocommento"/>
    <w:link w:val="SoggettocommentoCarattere"/>
    <w:uiPriority w:val="99"/>
    <w:semiHidden/>
    <w:unhideWhenUsed/>
    <w:rsid w:val="00EB1189"/>
    <w:rPr>
      <w:b/>
      <w:bCs/>
    </w:rPr>
  </w:style>
  <w:style w:type="character" w:customStyle="1" w:styleId="SoggettocommentoCarattere">
    <w:name w:val="Soggetto commento Carattere"/>
    <w:link w:val="Soggettocommento"/>
    <w:uiPriority w:val="99"/>
    <w:semiHidden/>
    <w:rsid w:val="00EB1189"/>
    <w:rPr>
      <w:rFonts w:ascii="Verdana" w:eastAsia="Verdana" w:hAnsi="Verdana" w:cs="Verdana"/>
      <w:b/>
      <w:bCs/>
      <w:lang w:bidi="it-IT"/>
    </w:rPr>
  </w:style>
  <w:style w:type="paragraph" w:styleId="Testofumetto">
    <w:name w:val="Balloon Text"/>
    <w:basedOn w:val="Normale"/>
    <w:link w:val="TestofumettoCarattere"/>
    <w:uiPriority w:val="99"/>
    <w:semiHidden/>
    <w:unhideWhenUsed/>
    <w:rsid w:val="00EB1189"/>
    <w:rPr>
      <w:rFonts w:ascii="Segoe UI" w:hAnsi="Segoe UI" w:cs="Segoe UI"/>
      <w:sz w:val="18"/>
      <w:szCs w:val="18"/>
    </w:rPr>
  </w:style>
  <w:style w:type="character" w:customStyle="1" w:styleId="TestofumettoCarattere">
    <w:name w:val="Testo fumetto Carattere"/>
    <w:link w:val="Testofumetto"/>
    <w:uiPriority w:val="99"/>
    <w:semiHidden/>
    <w:rsid w:val="00EB1189"/>
    <w:rPr>
      <w:rFonts w:ascii="Segoe UI" w:eastAsia="Verdana" w:hAnsi="Segoe UI" w:cs="Segoe UI"/>
      <w:sz w:val="18"/>
      <w:szCs w:val="18"/>
      <w:lang w:bidi="it-IT"/>
    </w:rPr>
  </w:style>
  <w:style w:type="paragraph" w:styleId="PreformattatoHTML">
    <w:name w:val="HTML Preformatted"/>
    <w:basedOn w:val="Normale"/>
    <w:link w:val="PreformattatoHTMLCarattere"/>
    <w:uiPriority w:val="99"/>
    <w:rsid w:val="00264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4"/>
      <w:lang w:bidi="ar-SA"/>
    </w:rPr>
  </w:style>
  <w:style w:type="character" w:customStyle="1" w:styleId="PreformattatoHTMLCarattere">
    <w:name w:val="Preformattato HTML Carattere"/>
    <w:basedOn w:val="Carpredefinitoparagrafo"/>
    <w:link w:val="PreformattatoHTML"/>
    <w:uiPriority w:val="99"/>
    <w:rsid w:val="00264661"/>
    <w:rPr>
      <w:rFonts w:ascii="Courier New" w:eastAsia="Times New Roman"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69448">
      <w:bodyDiv w:val="1"/>
      <w:marLeft w:val="0"/>
      <w:marRight w:val="0"/>
      <w:marTop w:val="0"/>
      <w:marBottom w:val="0"/>
      <w:divBdr>
        <w:top w:val="none" w:sz="0" w:space="0" w:color="auto"/>
        <w:left w:val="none" w:sz="0" w:space="0" w:color="auto"/>
        <w:bottom w:val="none" w:sz="0" w:space="0" w:color="auto"/>
        <w:right w:val="none" w:sz="0" w:space="0" w:color="auto"/>
      </w:divBdr>
    </w:div>
    <w:div w:id="933366589">
      <w:bodyDiv w:val="1"/>
      <w:marLeft w:val="0"/>
      <w:marRight w:val="0"/>
      <w:marTop w:val="0"/>
      <w:marBottom w:val="0"/>
      <w:divBdr>
        <w:top w:val="none" w:sz="0" w:space="0" w:color="auto"/>
        <w:left w:val="none" w:sz="0" w:space="0" w:color="auto"/>
        <w:bottom w:val="none" w:sz="0" w:space="0" w:color="auto"/>
        <w:right w:val="none" w:sz="0" w:space="0" w:color="auto"/>
      </w:divBdr>
      <w:divsChild>
        <w:div w:id="39820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7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in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naf@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7277835F-B1F8-E740-A9E8-4DD9F251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3330</Words>
  <Characters>18984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Microsoft Word - Dichiarazioni_integrative_DGUE_All.2bis.docx</vt:lpstr>
    </vt:vector>
  </TitlesOfParts>
  <Company/>
  <LinksUpToDate>false</LinksUpToDate>
  <CharactersWithSpaces>22270</CharactersWithSpaces>
  <SharedDoc>false</SharedDoc>
  <HLinks>
    <vt:vector size="24" baseType="variant">
      <vt:variant>
        <vt:i4>6684700</vt:i4>
      </vt:variant>
      <vt:variant>
        <vt:i4>27</vt:i4>
      </vt:variant>
      <vt:variant>
        <vt:i4>0</vt:i4>
      </vt:variant>
      <vt:variant>
        <vt:i4>5</vt:i4>
      </vt:variant>
      <vt:variant>
        <vt:lpwstr>mailto:rpd-inaf@legalmail.it</vt:lpwstr>
      </vt:variant>
      <vt:variant>
        <vt:lpwstr/>
      </vt:variant>
      <vt:variant>
        <vt:i4>2490395</vt:i4>
      </vt:variant>
      <vt:variant>
        <vt:i4>24</vt:i4>
      </vt:variant>
      <vt:variant>
        <vt:i4>0</vt:i4>
      </vt:variant>
      <vt:variant>
        <vt:i4>5</vt:i4>
      </vt:variant>
      <vt:variant>
        <vt:lpwstr>mailto:rpd@inaf.it</vt:lpwstr>
      </vt:variant>
      <vt:variant>
        <vt:lpwstr/>
      </vt:variant>
      <vt:variant>
        <vt:i4>3866651</vt:i4>
      </vt:variant>
      <vt:variant>
        <vt:i4>21</vt:i4>
      </vt:variant>
      <vt:variant>
        <vt:i4>0</vt:i4>
      </vt:variant>
      <vt:variant>
        <vt:i4>5</vt:i4>
      </vt:variant>
      <vt:variant>
        <vt:lpwstr>https://www.bosettiegatti.eu/info/norme/statali/2016_0050.htm</vt:lpwstr>
      </vt:variant>
      <vt:variant>
        <vt:lpwstr>110</vt:lpwstr>
      </vt:variant>
      <vt:variant>
        <vt:i4>3866651</vt:i4>
      </vt:variant>
      <vt:variant>
        <vt:i4>18</vt:i4>
      </vt:variant>
      <vt:variant>
        <vt:i4>0</vt:i4>
      </vt:variant>
      <vt:variant>
        <vt:i4>5</vt:i4>
      </vt:variant>
      <vt:variant>
        <vt:lpwstr>https://www.bosettiegatti.eu/info/norme/statali/2016_0050.htm</vt:lpwstr>
      </vt:variant>
      <vt:variant>
        <vt:lpwstr>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Dichiarazioni_integrative_DGUE_All.2bis.docx</dc:title>
  <dc:subject/>
  <dc:creator>d.rossi</dc:creator>
  <cp:keywords/>
  <cp:lastModifiedBy>Rachele</cp:lastModifiedBy>
  <cp:revision>2</cp:revision>
  <dcterms:created xsi:type="dcterms:W3CDTF">2021-12-10T13:12:00Z</dcterms:created>
  <dcterms:modified xsi:type="dcterms:W3CDTF">2021-12-10T13:12:00Z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PScript5.dll Version 5.2.2</vt:lpwstr>
  </property>
  <property fmtid="{D5CDD505-2E9C-101B-9397-08002B2CF9AE}" pid="4" name="LastSaved">
    <vt:filetime>2020-04-08T00:00:00Z</vt:filetime>
  </property>
</Properties>
</file>