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25D987" w14:textId="77777777" w:rsidR="00D462FB" w:rsidRPr="00112BF9" w:rsidRDefault="00D462FB">
      <w:pPr>
        <w:pBdr>
          <w:top w:val="nil"/>
          <w:left w:val="nil"/>
          <w:bottom w:val="nil"/>
          <w:right w:val="nil"/>
          <w:between w:val="nil"/>
        </w:pBdr>
        <w:spacing w:line="240" w:lineRule="auto"/>
        <w:ind w:left="0" w:right="-1220" w:hanging="2"/>
        <w:rPr>
          <w:rFonts w:ascii="Titillium" w:eastAsia="Arial" w:hAnsi="Titillium" w:cs="Arial"/>
          <w:color w:val="000000"/>
          <w:sz w:val="21"/>
          <w:szCs w:val="21"/>
          <w:highlight w:val="white"/>
        </w:rPr>
      </w:pPr>
    </w:p>
    <w:p w14:paraId="4A170096" w14:textId="77777777" w:rsidR="00D462FB" w:rsidRPr="00112BF9" w:rsidRDefault="00D462FB">
      <w:pPr>
        <w:pBdr>
          <w:top w:val="nil"/>
          <w:left w:val="nil"/>
          <w:bottom w:val="nil"/>
          <w:right w:val="nil"/>
          <w:between w:val="nil"/>
        </w:pBdr>
        <w:spacing w:line="240" w:lineRule="auto"/>
        <w:ind w:left="0" w:right="-1220" w:hanging="2"/>
        <w:rPr>
          <w:rFonts w:ascii="Titillium" w:eastAsia="Arial" w:hAnsi="Titillium" w:cs="Arial"/>
          <w:color w:val="000000"/>
          <w:sz w:val="21"/>
          <w:szCs w:val="21"/>
          <w:highlight w:val="white"/>
        </w:rPr>
      </w:pPr>
    </w:p>
    <w:p w14:paraId="6F7E4D96" w14:textId="77777777" w:rsidR="00D462FB" w:rsidRPr="00112BF9" w:rsidRDefault="00D462FB">
      <w:pPr>
        <w:pBdr>
          <w:top w:val="nil"/>
          <w:left w:val="nil"/>
          <w:bottom w:val="nil"/>
          <w:right w:val="nil"/>
          <w:between w:val="nil"/>
        </w:pBdr>
        <w:spacing w:line="240" w:lineRule="auto"/>
        <w:ind w:left="0" w:right="-1220" w:hanging="2"/>
        <w:rPr>
          <w:rFonts w:ascii="Titillium" w:eastAsia="Arial" w:hAnsi="Titillium" w:cs="Arial"/>
          <w:color w:val="000000"/>
          <w:sz w:val="21"/>
          <w:szCs w:val="21"/>
          <w:highlight w:val="white"/>
        </w:rPr>
      </w:pPr>
    </w:p>
    <w:p w14:paraId="5B735E30" w14:textId="77777777" w:rsidR="00D462FB" w:rsidRPr="00112BF9" w:rsidRDefault="00D462FB">
      <w:pPr>
        <w:pBdr>
          <w:top w:val="nil"/>
          <w:left w:val="nil"/>
          <w:bottom w:val="nil"/>
          <w:right w:val="nil"/>
          <w:between w:val="nil"/>
        </w:pBdr>
        <w:spacing w:line="240" w:lineRule="auto"/>
        <w:ind w:left="0" w:right="-1220" w:hanging="2"/>
        <w:jc w:val="center"/>
        <w:rPr>
          <w:rFonts w:ascii="Titillium" w:eastAsia="Arial" w:hAnsi="Titillium" w:cs="Arial"/>
          <w:color w:val="000000"/>
          <w:sz w:val="21"/>
          <w:szCs w:val="21"/>
          <w:highlight w:val="white"/>
        </w:rPr>
      </w:pPr>
    </w:p>
    <w:p w14:paraId="73F14A73" w14:textId="77777777" w:rsidR="00D462FB" w:rsidRPr="00112BF9" w:rsidRDefault="00D462FB">
      <w:pPr>
        <w:pBdr>
          <w:top w:val="nil"/>
          <w:left w:val="nil"/>
          <w:bottom w:val="nil"/>
          <w:right w:val="nil"/>
          <w:between w:val="nil"/>
        </w:pBdr>
        <w:spacing w:line="240" w:lineRule="auto"/>
        <w:ind w:left="0" w:right="-1220" w:hanging="2"/>
        <w:jc w:val="both"/>
        <w:rPr>
          <w:rFonts w:ascii="Titillium" w:eastAsia="Arial" w:hAnsi="Titillium" w:cs="Arial"/>
          <w:b/>
          <w:sz w:val="21"/>
          <w:szCs w:val="21"/>
          <w:highlight w:val="white"/>
        </w:rPr>
      </w:pPr>
    </w:p>
    <w:p w14:paraId="371E5CBA" w14:textId="31530141" w:rsidR="00112BF9" w:rsidRPr="00112BF9" w:rsidRDefault="00112BF9" w:rsidP="00112BF9">
      <w:pPr>
        <w:pBdr>
          <w:top w:val="nil"/>
          <w:left w:val="nil"/>
          <w:bottom w:val="nil"/>
          <w:right w:val="nil"/>
          <w:between w:val="nil"/>
        </w:pBdr>
        <w:spacing w:line="240" w:lineRule="auto"/>
        <w:ind w:left="0" w:right="-1220" w:hanging="2"/>
        <w:jc w:val="both"/>
        <w:rPr>
          <w:rFonts w:ascii="Titillium" w:eastAsia="Arial" w:hAnsi="Titillium" w:cs="Arial"/>
          <w:b/>
          <w:sz w:val="21"/>
          <w:szCs w:val="21"/>
        </w:rPr>
      </w:pPr>
      <w:r w:rsidRPr="00112BF9">
        <w:rPr>
          <w:rFonts w:ascii="Titillium" w:eastAsia="Arial" w:hAnsi="Titillium" w:cs="Arial"/>
          <w:b/>
          <w:sz w:val="21"/>
          <w:szCs w:val="21"/>
        </w:rPr>
        <w:t xml:space="preserve">PROCEDURA NEGOZIATA SOTTOSOGLIA, A SEGUITO DI MANIFESTAZIONE D’INTERESSE, MEDIANTE RDO SULLA PIATTAFORMA DI NEGOZIAZIONE DELLO INAF U-BUY, RIVOLTA AGLI OPERATORI ECONOMICI CHE HANNO MANIFESTATO INTERESSE, per: “Produzione delle Front-End Boards per LEM-X” per le esigenze del Progetto dal titolo "Earth-Moon-Mars" , Codice Identificativo: “IR0000038”, Area ESFRI “Physical Science and Engineering”, ammesso a finanziamento nell’ambito degli "Interventi" previsti dalla "Missione 4", denominata "Istruzione e Ricerca", "Componente 2", denominata "Dalla Ricerca alla Impresa" ("M4C2"), "Linea di Investimento 3.1", denominata ""Linea di Investimento 3.1", denominata "Fondo per la realizzazione di un sistema integrato di infrastrutture di ricerca e innovazione", del "Piano Nazionale di Ripresa e Resilienza" ("PNRR") </w:t>
      </w:r>
    </w:p>
    <w:p w14:paraId="22D8117B" w14:textId="77777777" w:rsidR="00112BF9" w:rsidRPr="00112BF9" w:rsidRDefault="00112BF9" w:rsidP="00112BF9">
      <w:pPr>
        <w:pBdr>
          <w:top w:val="nil"/>
          <w:left w:val="nil"/>
          <w:bottom w:val="nil"/>
          <w:right w:val="nil"/>
          <w:between w:val="nil"/>
        </w:pBdr>
        <w:spacing w:line="240" w:lineRule="auto"/>
        <w:ind w:left="0" w:right="-1220" w:hanging="2"/>
        <w:jc w:val="both"/>
        <w:rPr>
          <w:rFonts w:ascii="Titillium" w:eastAsia="Arial" w:hAnsi="Titillium" w:cs="Arial"/>
          <w:b/>
          <w:sz w:val="21"/>
          <w:szCs w:val="21"/>
        </w:rPr>
      </w:pPr>
      <w:r w:rsidRPr="00112BF9">
        <w:rPr>
          <w:rFonts w:ascii="Titillium" w:eastAsia="Arial" w:hAnsi="Titillium" w:cs="Arial"/>
          <w:b/>
          <w:sz w:val="21"/>
          <w:szCs w:val="21"/>
        </w:rPr>
        <w:tab/>
      </w:r>
    </w:p>
    <w:p w14:paraId="56236137" w14:textId="77777777" w:rsidR="00112BF9" w:rsidRPr="00112BF9" w:rsidRDefault="00112BF9" w:rsidP="00112BF9">
      <w:pPr>
        <w:pBdr>
          <w:top w:val="nil"/>
          <w:left w:val="nil"/>
          <w:bottom w:val="nil"/>
          <w:right w:val="nil"/>
          <w:between w:val="nil"/>
        </w:pBdr>
        <w:spacing w:line="240" w:lineRule="auto"/>
        <w:ind w:left="0" w:right="-1220" w:hanging="2"/>
        <w:jc w:val="both"/>
        <w:rPr>
          <w:rFonts w:ascii="Titillium" w:eastAsia="Arial" w:hAnsi="Titillium" w:cs="Arial"/>
          <w:b/>
          <w:sz w:val="21"/>
          <w:szCs w:val="21"/>
        </w:rPr>
      </w:pPr>
      <w:r w:rsidRPr="00112BF9">
        <w:rPr>
          <w:rFonts w:ascii="Titillium" w:eastAsia="Arial" w:hAnsi="Titillium" w:cs="Arial"/>
          <w:b/>
          <w:sz w:val="21"/>
          <w:szCs w:val="21"/>
        </w:rPr>
        <w:t>CODICE PROCEDURA: EMM-INAF-B-0043</w:t>
      </w:r>
    </w:p>
    <w:p w14:paraId="26556A67" w14:textId="77777777" w:rsidR="00112BF9" w:rsidRPr="00112BF9" w:rsidRDefault="00112BF9" w:rsidP="00112BF9">
      <w:pPr>
        <w:pBdr>
          <w:top w:val="nil"/>
          <w:left w:val="nil"/>
          <w:bottom w:val="nil"/>
          <w:right w:val="nil"/>
          <w:between w:val="nil"/>
        </w:pBdr>
        <w:spacing w:line="240" w:lineRule="auto"/>
        <w:ind w:left="0" w:right="-1220" w:hanging="2"/>
        <w:jc w:val="both"/>
        <w:rPr>
          <w:rFonts w:ascii="Titillium" w:eastAsia="Arial" w:hAnsi="Titillium" w:cs="Arial"/>
          <w:b/>
          <w:sz w:val="21"/>
          <w:szCs w:val="21"/>
        </w:rPr>
      </w:pPr>
      <w:r w:rsidRPr="00112BF9">
        <w:rPr>
          <w:rFonts w:ascii="Titillium" w:eastAsia="Arial" w:hAnsi="Titillium" w:cs="Arial"/>
          <w:b/>
          <w:sz w:val="21"/>
          <w:szCs w:val="21"/>
        </w:rPr>
        <w:t>CIG: B254C4D375</w:t>
      </w:r>
    </w:p>
    <w:p w14:paraId="35DFA8B7" w14:textId="77777777" w:rsidR="00112BF9" w:rsidRPr="00112BF9" w:rsidRDefault="00112BF9" w:rsidP="00112BF9">
      <w:pPr>
        <w:pBdr>
          <w:top w:val="nil"/>
          <w:left w:val="nil"/>
          <w:bottom w:val="nil"/>
          <w:right w:val="nil"/>
          <w:between w:val="nil"/>
        </w:pBdr>
        <w:spacing w:line="240" w:lineRule="auto"/>
        <w:ind w:left="0" w:right="-1220" w:hanging="2"/>
        <w:jc w:val="both"/>
        <w:rPr>
          <w:rFonts w:ascii="Titillium" w:eastAsia="Arial" w:hAnsi="Titillium" w:cs="Arial"/>
          <w:b/>
          <w:sz w:val="21"/>
          <w:szCs w:val="21"/>
        </w:rPr>
      </w:pPr>
      <w:r w:rsidRPr="00112BF9">
        <w:rPr>
          <w:rFonts w:ascii="Titillium" w:eastAsia="Arial" w:hAnsi="Titillium" w:cs="Arial"/>
          <w:b/>
          <w:sz w:val="21"/>
          <w:szCs w:val="21"/>
        </w:rPr>
        <w:t>CUP: C53C22000870006</w:t>
      </w:r>
    </w:p>
    <w:p w14:paraId="60585044" w14:textId="77777777" w:rsidR="00112BF9" w:rsidRPr="00112BF9" w:rsidRDefault="00112BF9" w:rsidP="00112BF9">
      <w:pPr>
        <w:pBdr>
          <w:top w:val="nil"/>
          <w:left w:val="nil"/>
          <w:bottom w:val="nil"/>
          <w:right w:val="nil"/>
          <w:between w:val="nil"/>
        </w:pBdr>
        <w:spacing w:line="240" w:lineRule="auto"/>
        <w:ind w:left="0" w:right="-1220" w:hanging="2"/>
        <w:jc w:val="both"/>
        <w:rPr>
          <w:rFonts w:ascii="Titillium" w:eastAsia="Arial" w:hAnsi="Titillium" w:cs="Arial"/>
          <w:b/>
          <w:sz w:val="21"/>
          <w:szCs w:val="21"/>
        </w:rPr>
      </w:pPr>
      <w:r w:rsidRPr="00112BF9">
        <w:rPr>
          <w:rFonts w:ascii="Titillium" w:eastAsia="Arial" w:hAnsi="Titillium" w:cs="Arial"/>
          <w:b/>
          <w:sz w:val="21"/>
          <w:szCs w:val="21"/>
        </w:rPr>
        <w:t>CUI: F97220210583202300002</w:t>
      </w:r>
    </w:p>
    <w:p w14:paraId="0514C676" w14:textId="77777777" w:rsidR="00D462FB" w:rsidRPr="00112BF9" w:rsidRDefault="00D462FB">
      <w:pPr>
        <w:pBdr>
          <w:top w:val="nil"/>
          <w:left w:val="nil"/>
          <w:bottom w:val="nil"/>
          <w:right w:val="nil"/>
          <w:between w:val="nil"/>
        </w:pBdr>
        <w:spacing w:line="240" w:lineRule="auto"/>
        <w:ind w:left="0" w:right="-1220" w:hanging="2"/>
        <w:jc w:val="center"/>
        <w:rPr>
          <w:rFonts w:ascii="Titillium" w:eastAsia="Arial" w:hAnsi="Titillium" w:cs="Arial"/>
          <w:color w:val="000000"/>
          <w:sz w:val="21"/>
          <w:szCs w:val="21"/>
          <w:highlight w:val="white"/>
        </w:rPr>
      </w:pPr>
    </w:p>
    <w:p w14:paraId="090E45EE" w14:textId="77777777" w:rsidR="00D462FB" w:rsidRPr="00112BF9" w:rsidRDefault="008B3ECF">
      <w:pPr>
        <w:pBdr>
          <w:top w:val="nil"/>
          <w:left w:val="nil"/>
          <w:bottom w:val="nil"/>
          <w:right w:val="nil"/>
          <w:between w:val="nil"/>
        </w:pBdr>
        <w:spacing w:line="240" w:lineRule="auto"/>
        <w:ind w:left="0" w:right="-1220" w:hanging="2"/>
        <w:jc w:val="center"/>
        <w:rPr>
          <w:rFonts w:ascii="Titillium" w:eastAsia="Arial" w:hAnsi="Titillium" w:cs="Arial"/>
          <w:color w:val="000000"/>
          <w:sz w:val="21"/>
          <w:szCs w:val="21"/>
          <w:highlight w:val="white"/>
        </w:rPr>
      </w:pPr>
      <w:r w:rsidRPr="00112BF9">
        <w:rPr>
          <w:rFonts w:ascii="Titillium" w:eastAsia="Arial" w:hAnsi="Titillium" w:cs="Arial"/>
          <w:b/>
          <w:color w:val="000000"/>
          <w:sz w:val="21"/>
          <w:szCs w:val="21"/>
          <w:highlight w:val="white"/>
        </w:rPr>
        <w:t xml:space="preserve">ALLEGATO </w:t>
      </w:r>
      <w:r w:rsidRPr="00112BF9">
        <w:rPr>
          <w:rFonts w:ascii="Titillium" w:eastAsia="Arial" w:hAnsi="Titillium" w:cs="Arial"/>
          <w:b/>
          <w:sz w:val="21"/>
          <w:szCs w:val="21"/>
          <w:highlight w:val="white"/>
        </w:rPr>
        <w:t>….</w:t>
      </w:r>
    </w:p>
    <w:p w14:paraId="039D839F" w14:textId="77777777" w:rsidR="00D462FB" w:rsidRPr="00112BF9" w:rsidRDefault="008B3ECF">
      <w:pPr>
        <w:pBdr>
          <w:top w:val="nil"/>
          <w:left w:val="nil"/>
          <w:bottom w:val="nil"/>
          <w:right w:val="nil"/>
          <w:between w:val="nil"/>
        </w:pBdr>
        <w:spacing w:line="240" w:lineRule="auto"/>
        <w:ind w:left="0" w:right="-1220" w:hanging="2"/>
        <w:jc w:val="center"/>
        <w:rPr>
          <w:rFonts w:ascii="Titillium" w:eastAsia="Arial" w:hAnsi="Titillium" w:cs="Arial"/>
          <w:color w:val="000000"/>
          <w:sz w:val="21"/>
          <w:szCs w:val="21"/>
          <w:highlight w:val="white"/>
        </w:rPr>
      </w:pPr>
      <w:r w:rsidRPr="00112BF9">
        <w:rPr>
          <w:rFonts w:ascii="Titillium" w:eastAsia="Arial" w:hAnsi="Titillium" w:cs="Arial"/>
          <w:b/>
          <w:color w:val="000000"/>
          <w:sz w:val="21"/>
          <w:szCs w:val="21"/>
          <w:highlight w:val="white"/>
        </w:rPr>
        <w:t xml:space="preserve">SCHEMA DI CONTRATTO </w:t>
      </w:r>
    </w:p>
    <w:p w14:paraId="4CCF1B2A" w14:textId="77777777" w:rsidR="00D462FB" w:rsidRPr="00112BF9" w:rsidRDefault="00D462FB">
      <w:pPr>
        <w:pBdr>
          <w:top w:val="nil"/>
          <w:left w:val="nil"/>
          <w:bottom w:val="nil"/>
          <w:right w:val="nil"/>
          <w:between w:val="nil"/>
        </w:pBdr>
        <w:spacing w:line="240" w:lineRule="auto"/>
        <w:ind w:left="0" w:right="-1220" w:hanging="2"/>
        <w:jc w:val="center"/>
        <w:rPr>
          <w:rFonts w:ascii="Titillium" w:eastAsia="Arial" w:hAnsi="Titillium" w:cs="Arial"/>
          <w:color w:val="000000"/>
          <w:sz w:val="21"/>
          <w:szCs w:val="21"/>
          <w:highlight w:val="white"/>
        </w:rPr>
      </w:pPr>
    </w:p>
    <w:p w14:paraId="40520122" w14:textId="77777777" w:rsidR="00D462FB" w:rsidRPr="00112BF9" w:rsidRDefault="00D462FB">
      <w:pPr>
        <w:pBdr>
          <w:top w:val="nil"/>
          <w:left w:val="nil"/>
          <w:bottom w:val="nil"/>
          <w:right w:val="nil"/>
          <w:between w:val="nil"/>
        </w:pBdr>
        <w:spacing w:line="240" w:lineRule="auto"/>
        <w:ind w:left="0" w:right="-1220" w:hanging="2"/>
        <w:jc w:val="center"/>
        <w:rPr>
          <w:rFonts w:ascii="Titillium" w:eastAsia="Arial" w:hAnsi="Titillium" w:cs="Arial"/>
          <w:color w:val="000000"/>
          <w:sz w:val="21"/>
          <w:szCs w:val="21"/>
          <w:highlight w:val="white"/>
        </w:rPr>
      </w:pPr>
    </w:p>
    <w:p w14:paraId="25025E41" w14:textId="77777777" w:rsidR="00D462FB" w:rsidRPr="00112BF9" w:rsidRDefault="00D462FB">
      <w:pPr>
        <w:pBdr>
          <w:top w:val="nil"/>
          <w:left w:val="nil"/>
          <w:bottom w:val="nil"/>
          <w:right w:val="nil"/>
          <w:between w:val="nil"/>
        </w:pBdr>
        <w:spacing w:line="240" w:lineRule="auto"/>
        <w:ind w:left="0" w:right="-1220" w:hanging="2"/>
        <w:jc w:val="center"/>
        <w:rPr>
          <w:rFonts w:ascii="Titillium" w:eastAsia="Arial" w:hAnsi="Titillium" w:cs="Arial"/>
          <w:color w:val="000000"/>
          <w:sz w:val="21"/>
          <w:szCs w:val="21"/>
          <w:highlight w:val="white"/>
        </w:rPr>
      </w:pPr>
    </w:p>
    <w:p w14:paraId="66E6A27A" w14:textId="77777777" w:rsidR="00D462FB" w:rsidRPr="00112BF9" w:rsidRDefault="008B3ECF">
      <w:pPr>
        <w:widowControl w:val="0"/>
        <w:pBdr>
          <w:top w:val="nil"/>
          <w:left w:val="nil"/>
          <w:bottom w:val="nil"/>
          <w:right w:val="nil"/>
          <w:between w:val="nil"/>
        </w:pBdr>
        <w:spacing w:line="240" w:lineRule="auto"/>
        <w:ind w:left="0" w:right="-1220" w:hanging="2"/>
        <w:jc w:val="center"/>
        <w:rPr>
          <w:rFonts w:ascii="Titillium" w:eastAsia="Arial" w:hAnsi="Titillium" w:cs="Arial"/>
          <w:b/>
          <w:color w:val="000000"/>
          <w:sz w:val="21"/>
          <w:szCs w:val="21"/>
          <w:highlight w:val="white"/>
        </w:rPr>
      </w:pPr>
      <w:r w:rsidRPr="00112BF9">
        <w:rPr>
          <w:rFonts w:ascii="Titillium" w:eastAsia="Arial" w:hAnsi="Titillium" w:cs="Arial"/>
          <w:b/>
          <w:color w:val="000000"/>
          <w:sz w:val="21"/>
          <w:szCs w:val="21"/>
          <w:highlight w:val="white"/>
        </w:rPr>
        <w:t>___________________</w:t>
      </w:r>
    </w:p>
    <w:p w14:paraId="38F40B5F" w14:textId="77777777" w:rsidR="00D462FB" w:rsidRPr="00112BF9" w:rsidRDefault="008B3ECF">
      <w:pPr>
        <w:widowControl w:val="0"/>
        <w:pBdr>
          <w:top w:val="nil"/>
          <w:left w:val="nil"/>
          <w:bottom w:val="nil"/>
          <w:right w:val="nil"/>
          <w:between w:val="nil"/>
        </w:pBdr>
        <w:spacing w:line="240" w:lineRule="auto"/>
        <w:ind w:left="0" w:right="-1220" w:hanging="2"/>
        <w:jc w:val="center"/>
        <w:rPr>
          <w:rFonts w:ascii="Titillium" w:eastAsia="Arial" w:hAnsi="Titillium" w:cs="Arial"/>
          <w:b/>
          <w:color w:val="000000"/>
          <w:sz w:val="21"/>
          <w:szCs w:val="21"/>
          <w:highlight w:val="white"/>
        </w:rPr>
      </w:pPr>
      <w:r w:rsidRPr="00112BF9">
        <w:rPr>
          <w:rFonts w:ascii="Titillium" w:eastAsia="Arial" w:hAnsi="Titillium" w:cs="Arial"/>
          <w:b/>
          <w:color w:val="000000"/>
          <w:sz w:val="21"/>
          <w:szCs w:val="21"/>
          <w:highlight w:val="white"/>
        </w:rPr>
        <w:t>CONTRATTO DI APPALTO</w:t>
      </w:r>
    </w:p>
    <w:p w14:paraId="05650851" w14:textId="39B1177A" w:rsidR="00D462FB" w:rsidRPr="00112BF9" w:rsidRDefault="008B3ECF">
      <w:pPr>
        <w:widowControl w:val="0"/>
        <w:pBdr>
          <w:top w:val="nil"/>
          <w:left w:val="nil"/>
          <w:bottom w:val="nil"/>
          <w:right w:val="nil"/>
          <w:between w:val="nil"/>
        </w:pBdr>
        <w:spacing w:line="240" w:lineRule="auto"/>
        <w:ind w:left="0" w:right="-1220" w:hanging="2"/>
        <w:jc w:val="center"/>
        <w:rPr>
          <w:rFonts w:ascii="Titillium" w:eastAsia="Arial" w:hAnsi="Titillium" w:cs="Arial"/>
          <w:b/>
          <w:color w:val="000000"/>
          <w:sz w:val="21"/>
          <w:szCs w:val="21"/>
          <w:highlight w:val="white"/>
        </w:rPr>
      </w:pPr>
      <w:r w:rsidRPr="00112BF9">
        <w:rPr>
          <w:rFonts w:ascii="Titillium" w:eastAsia="Arial" w:hAnsi="Titillium" w:cs="Arial"/>
          <w:b/>
          <w:color w:val="000000"/>
          <w:sz w:val="21"/>
          <w:szCs w:val="21"/>
          <w:highlight w:val="white"/>
        </w:rPr>
        <w:t>CIG numero</w:t>
      </w:r>
      <w:r w:rsidR="00DE0EFA" w:rsidRPr="00112BF9">
        <w:rPr>
          <w:rFonts w:ascii="Titillium" w:eastAsia="Arial" w:hAnsi="Titillium" w:cs="Arial"/>
          <w:b/>
          <w:sz w:val="21"/>
          <w:szCs w:val="21"/>
        </w:rPr>
        <w:t xml:space="preserve"> A0386AC95D</w:t>
      </w:r>
      <w:r w:rsidR="00DE0EFA" w:rsidRPr="00112BF9">
        <w:rPr>
          <w:rFonts w:ascii="Titillium" w:eastAsia="Arial" w:hAnsi="Titillium" w:cs="Arial"/>
          <w:b/>
          <w:color w:val="000000"/>
          <w:sz w:val="21"/>
          <w:szCs w:val="21"/>
          <w:highlight w:val="white"/>
        </w:rPr>
        <w:t xml:space="preserve">  </w:t>
      </w:r>
      <w:r w:rsidRPr="00112BF9">
        <w:rPr>
          <w:rFonts w:ascii="Titillium" w:eastAsia="Arial" w:hAnsi="Titillium" w:cs="Arial"/>
          <w:b/>
          <w:color w:val="000000"/>
          <w:sz w:val="21"/>
          <w:szCs w:val="21"/>
          <w:highlight w:val="white"/>
        </w:rPr>
        <w:t xml:space="preserve">e CUP numero </w:t>
      </w:r>
      <w:r w:rsidR="00DE0EFA" w:rsidRPr="00112BF9">
        <w:rPr>
          <w:rFonts w:ascii="Titillium" w:eastAsia="Arial" w:hAnsi="Titillium" w:cs="Arial"/>
          <w:b/>
          <w:sz w:val="21"/>
          <w:szCs w:val="21"/>
        </w:rPr>
        <w:t>C53C22000870006</w:t>
      </w:r>
    </w:p>
    <w:p w14:paraId="0FFCC5E0" w14:textId="77777777" w:rsidR="00D462FB" w:rsidRPr="00112BF9" w:rsidRDefault="00D462FB">
      <w:pPr>
        <w:widowControl w:val="0"/>
        <w:pBdr>
          <w:top w:val="nil"/>
          <w:left w:val="nil"/>
          <w:bottom w:val="nil"/>
          <w:right w:val="nil"/>
          <w:between w:val="nil"/>
        </w:pBdr>
        <w:spacing w:line="240" w:lineRule="auto"/>
        <w:ind w:left="0" w:right="-1220" w:hanging="2"/>
        <w:jc w:val="center"/>
        <w:rPr>
          <w:rFonts w:ascii="Titillium" w:eastAsia="Arial" w:hAnsi="Titillium" w:cs="Arial"/>
          <w:b/>
          <w:sz w:val="21"/>
          <w:szCs w:val="21"/>
          <w:highlight w:val="white"/>
        </w:rPr>
      </w:pPr>
    </w:p>
    <w:p w14:paraId="6F3FC98F" w14:textId="77777777" w:rsidR="00D462FB" w:rsidRPr="00112BF9" w:rsidRDefault="008B3ECF">
      <w:pPr>
        <w:widowControl w:val="0"/>
        <w:pBdr>
          <w:top w:val="nil"/>
          <w:left w:val="nil"/>
          <w:bottom w:val="nil"/>
          <w:right w:val="nil"/>
          <w:between w:val="nil"/>
        </w:pBdr>
        <w:spacing w:line="240" w:lineRule="auto"/>
        <w:ind w:left="0" w:right="-1220" w:hanging="2"/>
        <w:jc w:val="center"/>
        <w:rPr>
          <w:rFonts w:ascii="Titillium" w:eastAsia="Arial" w:hAnsi="Titillium" w:cs="Arial"/>
          <w:b/>
          <w:color w:val="000000"/>
          <w:sz w:val="21"/>
          <w:szCs w:val="21"/>
          <w:highlight w:val="white"/>
        </w:rPr>
      </w:pPr>
      <w:r w:rsidRPr="00112BF9">
        <w:rPr>
          <w:rFonts w:ascii="Titillium" w:eastAsia="Arial" w:hAnsi="Titillium" w:cs="Arial"/>
          <w:b/>
          <w:color w:val="000000"/>
          <w:sz w:val="21"/>
          <w:szCs w:val="21"/>
          <w:highlight w:val="white"/>
        </w:rPr>
        <w:t>TRA</w:t>
      </w:r>
    </w:p>
    <w:p w14:paraId="7D247313" w14:textId="4D2E5236" w:rsidR="00D462FB" w:rsidRPr="00112BF9" w:rsidRDefault="001D7BE2" w:rsidP="001D7BE2">
      <w:pPr>
        <w:widowControl w:val="0"/>
        <w:pBdr>
          <w:top w:val="nil"/>
          <w:left w:val="nil"/>
          <w:bottom w:val="nil"/>
          <w:right w:val="nil"/>
          <w:between w:val="nil"/>
        </w:pBdr>
        <w:spacing w:line="240" w:lineRule="auto"/>
        <w:ind w:leftChars="0" w:left="0" w:right="-1220" w:firstLineChars="0" w:firstLine="0"/>
        <w:jc w:val="both"/>
        <w:rPr>
          <w:rFonts w:ascii="Titillium" w:eastAsia="Arial" w:hAnsi="Titillium" w:cs="Arial"/>
          <w:color w:val="000000"/>
          <w:sz w:val="21"/>
          <w:szCs w:val="21"/>
          <w:highlight w:val="white"/>
        </w:rPr>
      </w:pPr>
      <w:bookmarkStart w:id="0" w:name="_Hlk148295408"/>
      <w:r w:rsidRPr="00112BF9">
        <w:rPr>
          <w:rFonts w:ascii="Titillium" w:eastAsia="Arial" w:hAnsi="Titillium" w:cs="Arial"/>
          <w:b/>
          <w:color w:val="000000"/>
          <w:sz w:val="21"/>
          <w:szCs w:val="21"/>
          <w:highlight w:val="white"/>
        </w:rPr>
        <w:t xml:space="preserve">Lo </w:t>
      </w:r>
      <w:bookmarkStart w:id="1" w:name="_Hlk148294392"/>
      <w:r w:rsidR="008B3ECF" w:rsidRPr="00112BF9">
        <w:rPr>
          <w:rFonts w:ascii="Titillium" w:eastAsia="Arial" w:hAnsi="Titillium" w:cs="Arial"/>
          <w:b/>
          <w:color w:val="000000"/>
          <w:sz w:val="21"/>
          <w:szCs w:val="21"/>
          <w:highlight w:val="white"/>
        </w:rPr>
        <w:t>Istituto</w:t>
      </w:r>
      <w:r w:rsidRPr="00112BF9">
        <w:rPr>
          <w:rFonts w:ascii="Titillium" w:eastAsia="Arial" w:hAnsi="Titillium" w:cs="Arial"/>
          <w:b/>
          <w:color w:val="000000"/>
          <w:sz w:val="21"/>
          <w:szCs w:val="21"/>
          <w:highlight w:val="white"/>
        </w:rPr>
        <w:t xml:space="preserve"> di Astrofisica e Planetologia Spaziali - INAF</w:t>
      </w:r>
      <w:bookmarkEnd w:id="1"/>
      <w:bookmarkEnd w:id="0"/>
      <w:r w:rsidR="008B3ECF" w:rsidRPr="00112BF9">
        <w:rPr>
          <w:rFonts w:ascii="Titillium" w:eastAsia="Arial" w:hAnsi="Titillium" w:cs="Arial"/>
          <w:b/>
          <w:color w:val="000000"/>
          <w:sz w:val="21"/>
          <w:szCs w:val="21"/>
          <w:highlight w:val="white"/>
        </w:rPr>
        <w:t xml:space="preserve">, </w:t>
      </w:r>
      <w:r w:rsidR="008B3ECF" w:rsidRPr="00112BF9">
        <w:rPr>
          <w:rFonts w:ascii="Titillium" w:eastAsia="Arial" w:hAnsi="Titillium" w:cs="Arial"/>
          <w:color w:val="000000"/>
          <w:sz w:val="21"/>
          <w:szCs w:val="21"/>
          <w:highlight w:val="white"/>
        </w:rPr>
        <w:t xml:space="preserve">con sede legale in </w:t>
      </w:r>
      <w:r w:rsidRPr="00112BF9">
        <w:rPr>
          <w:rFonts w:ascii="Titillium" w:eastAsia="Arial" w:hAnsi="Titillium" w:cs="Arial"/>
          <w:color w:val="000000"/>
          <w:sz w:val="21"/>
          <w:szCs w:val="21"/>
          <w:highlight w:val="white"/>
        </w:rPr>
        <w:t>Roma, Via del Fosso del Cavaliere, 100 – 00133 Roma</w:t>
      </w:r>
      <w:r w:rsidR="008B3ECF" w:rsidRPr="00112BF9">
        <w:rPr>
          <w:rFonts w:ascii="Titillium" w:eastAsia="Arial" w:hAnsi="Titillium" w:cs="Arial"/>
          <w:color w:val="000000"/>
          <w:sz w:val="21"/>
          <w:szCs w:val="21"/>
          <w:highlight w:val="white"/>
        </w:rPr>
        <w:t xml:space="preserve"> Codice Fiscale numero </w:t>
      </w:r>
      <w:r w:rsidRPr="00112BF9">
        <w:rPr>
          <w:rFonts w:ascii="Titillium" w:eastAsia="Arial" w:hAnsi="Titillium" w:cs="Arial"/>
          <w:color w:val="000000"/>
          <w:sz w:val="21"/>
          <w:szCs w:val="21"/>
        </w:rPr>
        <w:t>97220210583</w:t>
      </w:r>
      <w:r w:rsidR="008B3ECF" w:rsidRPr="00112BF9">
        <w:rPr>
          <w:rFonts w:ascii="Titillium" w:eastAsia="Arial" w:hAnsi="Titillium" w:cs="Arial"/>
          <w:color w:val="000000"/>
          <w:sz w:val="21"/>
          <w:szCs w:val="21"/>
          <w:highlight w:val="white"/>
        </w:rPr>
        <w:t xml:space="preserve">e Partita I.V.A. numero </w:t>
      </w:r>
      <w:r w:rsidRPr="00112BF9">
        <w:rPr>
          <w:rFonts w:ascii="Titillium" w:eastAsia="Arial" w:hAnsi="Titillium" w:cs="Arial"/>
          <w:color w:val="000000"/>
          <w:sz w:val="21"/>
          <w:szCs w:val="21"/>
          <w:highlight w:val="white"/>
        </w:rPr>
        <w:t>06895721006</w:t>
      </w:r>
      <w:r w:rsidR="008B3ECF" w:rsidRPr="00112BF9">
        <w:rPr>
          <w:rFonts w:ascii="Titillium" w:eastAsia="Arial" w:hAnsi="Titillium" w:cs="Arial"/>
          <w:color w:val="000000"/>
          <w:sz w:val="21"/>
          <w:szCs w:val="21"/>
          <w:highlight w:val="white"/>
        </w:rPr>
        <w:t xml:space="preserve"> nella persona di </w:t>
      </w:r>
      <w:r w:rsidRPr="00112BF9">
        <w:rPr>
          <w:rFonts w:ascii="Titillium" w:eastAsia="Arial" w:hAnsi="Titillium" w:cs="Arial"/>
          <w:color w:val="000000"/>
          <w:sz w:val="21"/>
          <w:szCs w:val="21"/>
          <w:highlight w:val="white"/>
        </w:rPr>
        <w:t xml:space="preserve">Dottore Marco Feroci </w:t>
      </w:r>
      <w:r w:rsidR="008B3ECF" w:rsidRPr="00112BF9">
        <w:rPr>
          <w:rFonts w:ascii="Titillium" w:eastAsia="Arial" w:hAnsi="Titillium" w:cs="Arial"/>
          <w:color w:val="000000"/>
          <w:sz w:val="21"/>
          <w:szCs w:val="21"/>
          <w:highlight w:val="white"/>
        </w:rPr>
        <w:t>, da una parte</w:t>
      </w:r>
    </w:p>
    <w:p w14:paraId="7A5F911E" w14:textId="77777777" w:rsidR="00D462FB" w:rsidRPr="00112BF9" w:rsidRDefault="008B3ECF">
      <w:pPr>
        <w:widowControl w:val="0"/>
        <w:pBdr>
          <w:top w:val="nil"/>
          <w:left w:val="nil"/>
          <w:bottom w:val="nil"/>
          <w:right w:val="nil"/>
          <w:between w:val="nil"/>
        </w:pBdr>
        <w:spacing w:line="240" w:lineRule="auto"/>
        <w:ind w:left="0" w:right="-1220" w:hanging="2"/>
        <w:jc w:val="center"/>
        <w:rPr>
          <w:rFonts w:ascii="Titillium" w:eastAsia="Arial" w:hAnsi="Titillium" w:cs="Arial"/>
          <w:b/>
          <w:color w:val="000000"/>
          <w:sz w:val="21"/>
          <w:szCs w:val="21"/>
          <w:highlight w:val="white"/>
        </w:rPr>
      </w:pPr>
      <w:r w:rsidRPr="00112BF9">
        <w:rPr>
          <w:rFonts w:ascii="Titillium" w:eastAsia="Arial" w:hAnsi="Titillium" w:cs="Arial"/>
          <w:b/>
          <w:color w:val="000000"/>
          <w:sz w:val="21"/>
          <w:szCs w:val="21"/>
          <w:highlight w:val="white"/>
        </w:rPr>
        <w:t>E</w:t>
      </w:r>
    </w:p>
    <w:p w14:paraId="3F4F176C" w14:textId="77777777" w:rsidR="00D462FB" w:rsidRPr="00112BF9" w:rsidRDefault="008B3ECF">
      <w:pPr>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la Società</w:t>
      </w:r>
      <w:r w:rsidRPr="00112BF9">
        <w:rPr>
          <w:rFonts w:ascii="Titillium" w:eastAsia="Arial" w:hAnsi="Titillium" w:cs="Arial"/>
          <w:b/>
          <w:color w:val="000000"/>
          <w:sz w:val="21"/>
          <w:szCs w:val="21"/>
          <w:highlight w:val="white"/>
        </w:rPr>
        <w:t xml:space="preserve"> </w:t>
      </w:r>
      <w:r w:rsidRPr="00112BF9">
        <w:rPr>
          <w:rFonts w:ascii="Titillium" w:eastAsia="Arial" w:hAnsi="Titillium" w:cs="Arial"/>
          <w:color w:val="000000"/>
          <w:sz w:val="21"/>
          <w:szCs w:val="21"/>
          <w:highlight w:val="white"/>
        </w:rPr>
        <w:t>………………………</w:t>
      </w:r>
      <w:r w:rsidRPr="00112BF9">
        <w:rPr>
          <w:rFonts w:ascii="Titillium" w:eastAsia="Arial" w:hAnsi="Titillium" w:cs="Arial"/>
          <w:b/>
          <w:color w:val="000000"/>
          <w:sz w:val="21"/>
          <w:szCs w:val="21"/>
          <w:highlight w:val="white"/>
        </w:rPr>
        <w:t xml:space="preserve"> </w:t>
      </w:r>
      <w:r w:rsidRPr="00112BF9">
        <w:rPr>
          <w:rFonts w:ascii="Titillium" w:eastAsia="Arial" w:hAnsi="Titillium" w:cs="Arial"/>
          <w:color w:val="000000"/>
          <w:sz w:val="21"/>
          <w:szCs w:val="21"/>
          <w:highlight w:val="white"/>
        </w:rPr>
        <w:t>in seguito indicata come “IMPRESA”, con sede legale in ……….. (…..), Via ….. numero …., Partita I.V.A. e Codice Fiscale numero …………., nella persona del Sig. …….., nato a ……. (…..), il ……….., Codice Fiscale …………….., domiciliato per la carica presso la sede legale della predetta società, in qualità di Legale Rappresentante, dall’altra parte</w:t>
      </w:r>
    </w:p>
    <w:p w14:paraId="584256E3" w14:textId="77777777" w:rsidR="00D462FB" w:rsidRPr="00112BF9" w:rsidRDefault="00D462FB">
      <w:pPr>
        <w:widowControl w:val="0"/>
        <w:pBdr>
          <w:top w:val="nil"/>
          <w:left w:val="nil"/>
          <w:bottom w:val="nil"/>
          <w:right w:val="nil"/>
          <w:between w:val="nil"/>
        </w:pBdr>
        <w:spacing w:line="240" w:lineRule="auto"/>
        <w:ind w:left="0" w:right="-1220" w:hanging="2"/>
        <w:jc w:val="both"/>
        <w:rPr>
          <w:rFonts w:ascii="Titillium" w:eastAsia="Arial" w:hAnsi="Titillium" w:cs="Arial"/>
          <w:sz w:val="21"/>
          <w:szCs w:val="21"/>
          <w:highlight w:val="white"/>
        </w:rPr>
      </w:pPr>
    </w:p>
    <w:p w14:paraId="040C1557" w14:textId="77777777" w:rsidR="00D462FB" w:rsidRPr="00112BF9" w:rsidRDefault="008B3ECF">
      <w:pPr>
        <w:widowControl w:val="0"/>
        <w:pBdr>
          <w:top w:val="nil"/>
          <w:left w:val="nil"/>
          <w:bottom w:val="nil"/>
          <w:right w:val="nil"/>
          <w:between w:val="nil"/>
        </w:pBdr>
        <w:spacing w:line="240" w:lineRule="auto"/>
        <w:ind w:left="0" w:right="-1220" w:hanging="2"/>
        <w:jc w:val="center"/>
        <w:rPr>
          <w:rFonts w:ascii="Titillium" w:eastAsia="Arial" w:hAnsi="Titillium" w:cs="Arial"/>
          <w:b/>
          <w:color w:val="000000"/>
          <w:sz w:val="21"/>
          <w:szCs w:val="21"/>
          <w:highlight w:val="white"/>
        </w:rPr>
      </w:pPr>
      <w:r w:rsidRPr="00112BF9">
        <w:rPr>
          <w:rFonts w:ascii="Titillium" w:eastAsia="Arial" w:hAnsi="Titillium" w:cs="Arial"/>
          <w:b/>
          <w:color w:val="000000"/>
          <w:sz w:val="21"/>
          <w:szCs w:val="21"/>
          <w:highlight w:val="white"/>
        </w:rPr>
        <w:t>PREMESSO</w:t>
      </w:r>
    </w:p>
    <w:p w14:paraId="4148650B" w14:textId="70838451" w:rsidR="00DE0EFA" w:rsidRPr="00112BF9" w:rsidRDefault="008B3ECF" w:rsidP="00112BF9">
      <w:pPr>
        <w:ind w:left="0" w:right="-1220" w:hanging="2"/>
        <w:jc w:val="both"/>
        <w:rPr>
          <w:rFonts w:ascii="Titillium" w:eastAsia="Arial" w:hAnsi="Titillium" w:cs="Arial"/>
          <w:b/>
          <w:sz w:val="21"/>
          <w:szCs w:val="21"/>
        </w:rPr>
      </w:pPr>
      <w:r w:rsidRPr="00112BF9">
        <w:rPr>
          <w:rFonts w:ascii="Titillium" w:eastAsia="Arial" w:hAnsi="Titillium" w:cs="Arial"/>
          <w:sz w:val="21"/>
          <w:szCs w:val="21"/>
          <w:highlight w:val="white"/>
        </w:rPr>
        <w:t xml:space="preserve">che a seguito di </w:t>
      </w:r>
      <w:r w:rsidR="00DE0EFA" w:rsidRPr="00112BF9">
        <w:rPr>
          <w:rFonts w:ascii="Titillium" w:eastAsia="Arial" w:hAnsi="Titillium" w:cs="Arial"/>
          <w:sz w:val="21"/>
          <w:szCs w:val="21"/>
          <w:highlight w:val="white"/>
        </w:rPr>
        <w:t xml:space="preserve">Trattativa Diretta </w:t>
      </w:r>
      <w:r w:rsidRPr="00112BF9">
        <w:rPr>
          <w:rFonts w:ascii="Titillium" w:eastAsia="Arial" w:hAnsi="Titillium" w:cs="Arial"/>
          <w:sz w:val="21"/>
          <w:szCs w:val="21"/>
          <w:highlight w:val="white"/>
        </w:rPr>
        <w:t xml:space="preserve"> svolta ai sensi del combinato disposto degli articoli 14, 49 e 50 e dello "Allegato II.1" del Decreto Legislativo 31 marzo 2023, numero 36, </w:t>
      </w:r>
      <w:r w:rsidRPr="00112BF9">
        <w:rPr>
          <w:rFonts w:ascii="Titillium" w:eastAsia="Arial" w:hAnsi="Titillium" w:cs="Arial"/>
          <w:i/>
          <w:sz w:val="21"/>
          <w:szCs w:val="21"/>
          <w:highlight w:val="white"/>
        </w:rPr>
        <w:t>“Codice dei contratti pubblici</w:t>
      </w:r>
      <w:r w:rsidRPr="00112BF9">
        <w:rPr>
          <w:rFonts w:ascii="Titillium" w:eastAsia="Arial" w:hAnsi="Titillium" w:cs="Arial"/>
          <w:sz w:val="21"/>
          <w:szCs w:val="21"/>
          <w:highlight w:val="white"/>
        </w:rPr>
        <w:t>”, in attuazione dell'</w:t>
      </w:r>
      <w:hyperlink r:id="rId8" w:anchor="_inizio">
        <w:r w:rsidRPr="00112BF9">
          <w:rPr>
            <w:rFonts w:ascii="Titillium" w:eastAsia="Arial" w:hAnsi="Titillium" w:cs="Arial"/>
            <w:sz w:val="21"/>
            <w:szCs w:val="21"/>
            <w:highlight w:val="white"/>
          </w:rPr>
          <w:t>articolo 1 della legge 21 giugno 2022, n. 78</w:t>
        </w:r>
      </w:hyperlink>
      <w:r w:rsidRPr="00112BF9">
        <w:rPr>
          <w:rFonts w:ascii="Titillium" w:eastAsia="Arial" w:hAnsi="Titillium" w:cs="Arial"/>
          <w:sz w:val="21"/>
          <w:szCs w:val="21"/>
          <w:highlight w:val="white"/>
        </w:rPr>
        <w:t xml:space="preserve">, recante “delega al Governo in materia di contratti pubblici”, approvata con Determina del _____________, numero __ del __ ______ 2023, è stato affidato all’IMPRESA…………………. l’appalto per </w:t>
      </w:r>
      <w:r w:rsidR="00DE0EFA" w:rsidRPr="00112BF9">
        <w:rPr>
          <w:rFonts w:ascii="Titillium" w:eastAsia="Arial" w:hAnsi="Titillium" w:cs="Arial"/>
          <w:bCs/>
          <w:sz w:val="21"/>
          <w:szCs w:val="21"/>
        </w:rPr>
        <w:t>la</w:t>
      </w:r>
      <w:r w:rsidR="00DE0EFA" w:rsidRPr="00112BF9">
        <w:rPr>
          <w:rFonts w:ascii="Titillium" w:eastAsia="Arial" w:hAnsi="Titillium" w:cs="Arial"/>
          <w:b/>
          <w:sz w:val="21"/>
          <w:szCs w:val="21"/>
        </w:rPr>
        <w:t xml:space="preserve"> </w:t>
      </w:r>
      <w:r w:rsidR="00112BF9" w:rsidRPr="00112BF9">
        <w:rPr>
          <w:rFonts w:ascii="Titillium" w:eastAsia="Arial" w:hAnsi="Titillium" w:cs="Arial"/>
          <w:b/>
          <w:sz w:val="21"/>
          <w:szCs w:val="21"/>
        </w:rPr>
        <w:t xml:space="preserve">“Produzione delle Front-End Boards per LEM-X” per le esigenze del Progetto dal titolo "Earth-Moon-Mars" </w:t>
      </w:r>
    </w:p>
    <w:p w14:paraId="08D9E44A" w14:textId="07E82D91" w:rsidR="00D462FB" w:rsidRPr="00112BF9" w:rsidRDefault="008B3ECF" w:rsidP="00DE0EFA">
      <w:pPr>
        <w:widowControl w:val="0"/>
        <w:numPr>
          <w:ilvl w:val="0"/>
          <w:numId w:val="6"/>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che l’impresa risulta in regola con i requisiti previsti</w:t>
      </w:r>
      <w:r w:rsidRPr="00112BF9">
        <w:rPr>
          <w:rFonts w:ascii="Titillium" w:eastAsia="Arial" w:hAnsi="Titillium" w:cs="Arial"/>
          <w:sz w:val="21"/>
          <w:szCs w:val="21"/>
          <w:highlight w:val="white"/>
        </w:rPr>
        <w:t xml:space="preserve"> dalla legge</w:t>
      </w:r>
      <w:r w:rsidRPr="00112BF9">
        <w:rPr>
          <w:rFonts w:ascii="Titillium" w:eastAsia="Arial" w:hAnsi="Titillium" w:cs="Arial"/>
          <w:color w:val="000000"/>
          <w:sz w:val="21"/>
          <w:szCs w:val="21"/>
          <w:highlight w:val="white"/>
        </w:rPr>
        <w:t>, e che lo stesso ha presentato quanto previsto per la stipula del presente contratto;</w:t>
      </w:r>
    </w:p>
    <w:p w14:paraId="2A179645" w14:textId="77777777" w:rsidR="00D462FB" w:rsidRPr="00112BF9" w:rsidRDefault="008B3ECF">
      <w:pPr>
        <w:widowControl w:val="0"/>
        <w:numPr>
          <w:ilvl w:val="0"/>
          <w:numId w:val="6"/>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che l’IMPRESA sottoscrivendo il presente Contratto, dichiara, ai sensi e per gli effetti di cui agli articoli 1341 e 1342 del Codice Civile, di accettare tutte le condizioni e patti contenuti nel </w:t>
      </w:r>
      <w:r w:rsidRPr="00112BF9">
        <w:rPr>
          <w:rFonts w:ascii="Titillium" w:eastAsia="Arial" w:hAnsi="Titillium" w:cs="Arial"/>
          <w:color w:val="000000"/>
          <w:sz w:val="21"/>
          <w:szCs w:val="21"/>
          <w:highlight w:val="white"/>
        </w:rPr>
        <w:lastRenderedPageBreak/>
        <w:t>presente contratto e di avere particolarmente considerato quanto stabilito e convenuto con le relative clausole;</w:t>
      </w:r>
    </w:p>
    <w:p w14:paraId="65EC8F0F" w14:textId="4081C709" w:rsidR="00D462FB" w:rsidRPr="00112BF9" w:rsidRDefault="008B3ECF">
      <w:pPr>
        <w:widowControl w:val="0"/>
        <w:numPr>
          <w:ilvl w:val="0"/>
          <w:numId w:val="4"/>
        </w:numPr>
        <w:pBdr>
          <w:top w:val="nil"/>
          <w:left w:val="nil"/>
          <w:bottom w:val="nil"/>
          <w:right w:val="nil"/>
          <w:between w:val="nil"/>
        </w:pBdr>
        <w:spacing w:line="240" w:lineRule="auto"/>
        <w:ind w:left="0" w:right="-1220" w:hanging="2"/>
        <w:jc w:val="both"/>
        <w:rPr>
          <w:rFonts w:ascii="Titillium" w:hAnsi="Titillium"/>
          <w:color w:val="000000"/>
          <w:sz w:val="21"/>
          <w:szCs w:val="21"/>
          <w:highlight w:val="white"/>
        </w:rPr>
      </w:pPr>
      <w:r w:rsidRPr="00112BF9">
        <w:rPr>
          <w:rFonts w:ascii="Titillium" w:eastAsia="Arial" w:hAnsi="Titillium" w:cs="Arial"/>
          <w:color w:val="000000"/>
          <w:sz w:val="21"/>
          <w:szCs w:val="21"/>
          <w:highlight w:val="white"/>
        </w:rPr>
        <w:t xml:space="preserve">che l’IMPRESA ha prestato garanzia fideiussoria definitiva di € ……., </w:t>
      </w:r>
      <w:r w:rsidRPr="00112BF9">
        <w:rPr>
          <w:rFonts w:ascii="Titillium" w:eastAsia="Arial" w:hAnsi="Titillium" w:cs="Arial"/>
          <w:color w:val="000000" w:themeColor="text1"/>
          <w:sz w:val="21"/>
          <w:szCs w:val="21"/>
          <w:highlight w:val="white"/>
        </w:rPr>
        <w:t xml:space="preserve">mediante </w:t>
      </w:r>
      <w:r w:rsidRPr="00112BF9">
        <w:rPr>
          <w:rFonts w:ascii="Titillium" w:eastAsia="Arial" w:hAnsi="Titillium" w:cs="Arial"/>
          <w:b/>
          <w:color w:val="000000" w:themeColor="text1"/>
          <w:sz w:val="21"/>
          <w:szCs w:val="21"/>
          <w:highlight w:val="white"/>
        </w:rPr>
        <w:t>[</w:t>
      </w:r>
      <w:r w:rsidRPr="00112BF9">
        <w:rPr>
          <w:rFonts w:ascii="Titillium" w:eastAsia="Arial" w:hAnsi="Titillium" w:cs="Arial"/>
          <w:color w:val="000000" w:themeColor="text1"/>
          <w:sz w:val="21"/>
          <w:szCs w:val="21"/>
          <w:highlight w:val="white"/>
        </w:rPr>
        <w:t>fideiussione /polizza assicurativa/bonifico</w:t>
      </w:r>
      <w:r w:rsidRPr="00112BF9">
        <w:rPr>
          <w:rFonts w:ascii="Titillium" w:eastAsia="Arial" w:hAnsi="Titillium" w:cs="Arial"/>
          <w:b/>
          <w:color w:val="000000" w:themeColor="text1"/>
          <w:sz w:val="21"/>
          <w:szCs w:val="21"/>
          <w:highlight w:val="white"/>
        </w:rPr>
        <w:t>]</w:t>
      </w:r>
      <w:r w:rsidRPr="00112BF9">
        <w:rPr>
          <w:rFonts w:ascii="Titillium" w:eastAsia="Arial" w:hAnsi="Titillium" w:cs="Arial"/>
          <w:color w:val="000000" w:themeColor="text1"/>
          <w:sz w:val="21"/>
          <w:szCs w:val="21"/>
          <w:highlight w:val="white"/>
        </w:rPr>
        <w:t xml:space="preserve"> numero </w:t>
      </w:r>
      <w:r w:rsidRPr="00112BF9">
        <w:rPr>
          <w:rFonts w:ascii="Titillium" w:eastAsia="Arial" w:hAnsi="Titillium" w:cs="Arial"/>
          <w:color w:val="000000"/>
          <w:sz w:val="21"/>
          <w:szCs w:val="21"/>
          <w:highlight w:val="white"/>
        </w:rPr>
        <w:t>…………, emessa dalla ………….. il ……..;</w:t>
      </w:r>
    </w:p>
    <w:p w14:paraId="3F3922EB" w14:textId="77777777" w:rsidR="00D462FB" w:rsidRPr="00112BF9" w:rsidRDefault="008B3ECF">
      <w:pPr>
        <w:widowControl w:val="0"/>
        <w:numPr>
          <w:ilvl w:val="0"/>
          <w:numId w:val="7"/>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che l'IMPRESA ha presentato la documentazione richiesta ai fini della stipula del presente contratto la quale, anche se non materialmente allegata, ne forma parte integrante e sostanziale;</w:t>
      </w:r>
    </w:p>
    <w:p w14:paraId="4BF8BFF5" w14:textId="77777777" w:rsidR="00D462FB" w:rsidRPr="00112BF9" w:rsidRDefault="008B3ECF">
      <w:pPr>
        <w:widowControl w:val="0"/>
        <w:numPr>
          <w:ilvl w:val="0"/>
          <w:numId w:val="8"/>
        </w:numPr>
        <w:pBdr>
          <w:top w:val="nil"/>
          <w:left w:val="nil"/>
          <w:bottom w:val="nil"/>
          <w:right w:val="nil"/>
          <w:between w:val="nil"/>
        </w:pBdr>
        <w:spacing w:line="240" w:lineRule="auto"/>
        <w:ind w:left="0" w:right="-1220" w:hanging="2"/>
        <w:jc w:val="both"/>
        <w:rPr>
          <w:rFonts w:ascii="Titillium" w:eastAsia="Arial" w:hAnsi="Titillium" w:cs="Arial"/>
          <w:color w:val="000000" w:themeColor="text1"/>
          <w:sz w:val="21"/>
          <w:szCs w:val="21"/>
          <w:highlight w:val="white"/>
        </w:rPr>
      </w:pPr>
      <w:r w:rsidRPr="00112BF9">
        <w:rPr>
          <w:rFonts w:ascii="Titillium" w:eastAsia="Arial" w:hAnsi="Titillium" w:cs="Arial"/>
          <w:color w:val="000000" w:themeColor="text1"/>
          <w:sz w:val="21"/>
          <w:szCs w:val="21"/>
          <w:highlight w:val="white"/>
        </w:rPr>
        <w:t>che sono state effettuate le verifiche delle dichiarazioni rese;</w:t>
      </w:r>
    </w:p>
    <w:p w14:paraId="4C9B05E8" w14:textId="182D0FFD" w:rsidR="00D462FB" w:rsidRPr="00112BF9" w:rsidRDefault="008B3ECF" w:rsidP="0050615E">
      <w:pPr>
        <w:widowControl w:val="0"/>
        <w:numPr>
          <w:ilvl w:val="0"/>
          <w:numId w:val="11"/>
        </w:numPr>
        <w:pBdr>
          <w:top w:val="nil"/>
          <w:left w:val="nil"/>
          <w:bottom w:val="nil"/>
          <w:right w:val="nil"/>
          <w:between w:val="nil"/>
        </w:pBdr>
        <w:spacing w:line="240" w:lineRule="auto"/>
        <w:ind w:left="0" w:right="-1220" w:hanging="2"/>
        <w:jc w:val="both"/>
        <w:rPr>
          <w:rFonts w:ascii="Titillium" w:eastAsia="Arial" w:hAnsi="Titillium" w:cs="Arial"/>
          <w:color w:val="000000" w:themeColor="text1"/>
          <w:sz w:val="21"/>
          <w:szCs w:val="21"/>
          <w:highlight w:val="white"/>
        </w:rPr>
      </w:pPr>
      <w:r w:rsidRPr="00112BF9">
        <w:rPr>
          <w:rFonts w:ascii="Titillium" w:eastAsia="Arial" w:hAnsi="Titillium" w:cs="Arial"/>
          <w:color w:val="000000" w:themeColor="text1"/>
          <w:sz w:val="21"/>
          <w:szCs w:val="21"/>
          <w:highlight w:val="white"/>
        </w:rPr>
        <w:t>[che l’IMPRESA ha presentato garanzia a copertura dell’anticipazione del 20% dell’importo contrattuale mediante fideiussione, di pari importo, numero …….  del ………. Rilasciata da …………;</w:t>
      </w:r>
      <w:r w:rsidRPr="00112BF9">
        <w:rPr>
          <w:rFonts w:ascii="Titillium" w:eastAsia="Arial" w:hAnsi="Titillium" w:cs="Arial"/>
          <w:b/>
          <w:color w:val="000000" w:themeColor="text1"/>
          <w:sz w:val="21"/>
          <w:szCs w:val="21"/>
          <w:highlight w:val="white"/>
        </w:rPr>
        <w:t xml:space="preserve"> ]</w:t>
      </w:r>
      <w:r w:rsidRPr="00112BF9">
        <w:rPr>
          <w:rFonts w:ascii="Titillium" w:eastAsia="Arial" w:hAnsi="Titillium" w:cs="Arial"/>
          <w:color w:val="000000" w:themeColor="text1"/>
          <w:sz w:val="21"/>
          <w:szCs w:val="21"/>
          <w:highlight w:val="white"/>
        </w:rPr>
        <w:t xml:space="preserve"> </w:t>
      </w:r>
    </w:p>
    <w:p w14:paraId="733A355D" w14:textId="77777777" w:rsidR="0050615E" w:rsidRPr="00112BF9" w:rsidRDefault="0050615E" w:rsidP="0050615E">
      <w:pPr>
        <w:widowControl w:val="0"/>
        <w:pBdr>
          <w:top w:val="nil"/>
          <w:left w:val="nil"/>
          <w:bottom w:val="nil"/>
          <w:right w:val="nil"/>
          <w:between w:val="nil"/>
        </w:pBdr>
        <w:spacing w:line="240" w:lineRule="auto"/>
        <w:ind w:leftChars="0" w:left="0" w:right="-1220" w:firstLineChars="0" w:firstLine="0"/>
        <w:jc w:val="both"/>
        <w:rPr>
          <w:rFonts w:ascii="Titillium" w:eastAsia="Arial" w:hAnsi="Titillium" w:cs="Arial"/>
          <w:color w:val="FF0000"/>
          <w:sz w:val="21"/>
          <w:szCs w:val="21"/>
          <w:highlight w:val="white"/>
        </w:rPr>
      </w:pPr>
    </w:p>
    <w:p w14:paraId="723E7C61" w14:textId="77777777" w:rsidR="00D462FB" w:rsidRPr="00112BF9" w:rsidRDefault="008B3ECF">
      <w:pPr>
        <w:keepNext/>
        <w:widowControl w:val="0"/>
        <w:pBdr>
          <w:top w:val="nil"/>
          <w:left w:val="nil"/>
          <w:bottom w:val="nil"/>
          <w:right w:val="nil"/>
          <w:between w:val="nil"/>
        </w:pBdr>
        <w:spacing w:line="240" w:lineRule="auto"/>
        <w:ind w:left="0" w:right="-1220" w:hanging="2"/>
        <w:jc w:val="center"/>
        <w:rPr>
          <w:rFonts w:ascii="Titillium" w:eastAsia="Arial" w:hAnsi="Titillium" w:cs="Arial"/>
          <w:b/>
          <w:color w:val="000000"/>
          <w:sz w:val="21"/>
          <w:szCs w:val="21"/>
          <w:highlight w:val="white"/>
        </w:rPr>
      </w:pPr>
      <w:r w:rsidRPr="00112BF9">
        <w:rPr>
          <w:rFonts w:ascii="Titillium" w:eastAsia="Arial" w:hAnsi="Titillium" w:cs="Arial"/>
          <w:b/>
          <w:color w:val="000000"/>
          <w:sz w:val="21"/>
          <w:szCs w:val="21"/>
          <w:highlight w:val="white"/>
        </w:rPr>
        <w:t>TUTTO CIÒ PREMESSO</w:t>
      </w:r>
    </w:p>
    <w:p w14:paraId="6236930B" w14:textId="77777777" w:rsidR="00D462FB" w:rsidRPr="00112BF9" w:rsidRDefault="00D462FB">
      <w:pPr>
        <w:keepNext/>
        <w:widowControl w:val="0"/>
        <w:pBdr>
          <w:top w:val="nil"/>
          <w:left w:val="nil"/>
          <w:bottom w:val="nil"/>
          <w:right w:val="nil"/>
          <w:between w:val="nil"/>
        </w:pBdr>
        <w:spacing w:line="240" w:lineRule="auto"/>
        <w:ind w:left="0" w:right="-1220" w:hanging="2"/>
        <w:jc w:val="center"/>
        <w:rPr>
          <w:rFonts w:ascii="Titillium" w:eastAsia="Arial" w:hAnsi="Titillium" w:cs="Arial"/>
          <w:b/>
          <w:sz w:val="21"/>
          <w:szCs w:val="21"/>
          <w:highlight w:val="white"/>
        </w:rPr>
      </w:pPr>
    </w:p>
    <w:p w14:paraId="62B3E5EF" w14:textId="77777777" w:rsidR="00D462FB" w:rsidRPr="00112BF9" w:rsidRDefault="008B3ECF">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Le Parti, come sopra costituite, convengono e stipulano quanto segue:</w:t>
      </w:r>
    </w:p>
    <w:p w14:paraId="2A88F2F8" w14:textId="77777777" w:rsidR="00D462FB" w:rsidRPr="00112BF9" w:rsidRDefault="00D462FB">
      <w:pPr>
        <w:keepNext/>
        <w:widowControl w:val="0"/>
        <w:pBdr>
          <w:top w:val="nil"/>
          <w:left w:val="nil"/>
          <w:bottom w:val="nil"/>
          <w:right w:val="nil"/>
          <w:between w:val="nil"/>
        </w:pBdr>
        <w:spacing w:line="240" w:lineRule="auto"/>
        <w:ind w:left="0" w:right="-1220" w:hanging="2"/>
        <w:jc w:val="both"/>
        <w:rPr>
          <w:rFonts w:ascii="Titillium" w:eastAsia="Arial" w:hAnsi="Titillium" w:cs="Arial"/>
          <w:sz w:val="21"/>
          <w:szCs w:val="21"/>
          <w:highlight w:val="white"/>
        </w:rPr>
      </w:pPr>
    </w:p>
    <w:p w14:paraId="62DDD235" w14:textId="77777777" w:rsidR="00D462FB" w:rsidRPr="00112BF9" w:rsidRDefault="008B3ECF">
      <w:pPr>
        <w:widowControl w:val="0"/>
        <w:pBdr>
          <w:top w:val="nil"/>
          <w:left w:val="nil"/>
          <w:bottom w:val="nil"/>
          <w:right w:val="nil"/>
          <w:between w:val="nil"/>
        </w:pBdr>
        <w:tabs>
          <w:tab w:val="left" w:pos="1134"/>
        </w:tabs>
        <w:spacing w:line="240" w:lineRule="auto"/>
        <w:ind w:left="0" w:right="-1220" w:hanging="2"/>
        <w:jc w:val="center"/>
        <w:rPr>
          <w:rFonts w:ascii="Titillium" w:eastAsia="Arial" w:hAnsi="Titillium" w:cs="Arial"/>
          <w:color w:val="000000"/>
          <w:sz w:val="21"/>
          <w:szCs w:val="21"/>
          <w:highlight w:val="white"/>
        </w:rPr>
      </w:pPr>
      <w:r w:rsidRPr="00112BF9">
        <w:rPr>
          <w:rFonts w:ascii="Titillium" w:eastAsia="Arial" w:hAnsi="Titillium" w:cs="Arial"/>
          <w:b/>
          <w:color w:val="000000"/>
          <w:sz w:val="21"/>
          <w:szCs w:val="21"/>
          <w:highlight w:val="white"/>
          <w:u w:val="single"/>
        </w:rPr>
        <w:t>Art.  Valore delle premesse e degli allegati</w:t>
      </w:r>
    </w:p>
    <w:p w14:paraId="7DCA5006" w14:textId="77777777" w:rsidR="0050615E" w:rsidRPr="00112BF9" w:rsidRDefault="008B3ECF">
      <w:pPr>
        <w:widowControl w:val="0"/>
        <w:pBdr>
          <w:top w:val="nil"/>
          <w:left w:val="nil"/>
          <w:bottom w:val="nil"/>
          <w:right w:val="nil"/>
          <w:between w:val="nil"/>
        </w:pBdr>
        <w:tabs>
          <w:tab w:val="left" w:pos="113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 Le premesse di cui sopra, gli atti e i documenti richiamati nelle medesime e nella restante parte del presente contratto, ivi inclusi, il Capitolato Tecnico,  l’offerta economica dell'IMPRESA</w:t>
      </w:r>
      <w:r w:rsidR="0050615E" w:rsidRPr="00112BF9">
        <w:rPr>
          <w:rFonts w:ascii="Titillium" w:eastAsia="Arial" w:hAnsi="Titillium" w:cs="Arial"/>
          <w:color w:val="000000"/>
          <w:sz w:val="21"/>
          <w:szCs w:val="21"/>
          <w:highlight w:val="white"/>
        </w:rPr>
        <w:t>.</w:t>
      </w:r>
    </w:p>
    <w:p w14:paraId="72D62B58" w14:textId="683614D6" w:rsidR="00D462FB" w:rsidRPr="00112BF9" w:rsidRDefault="008B3ECF">
      <w:pPr>
        <w:widowControl w:val="0"/>
        <w:pBdr>
          <w:top w:val="nil"/>
          <w:left w:val="nil"/>
          <w:bottom w:val="nil"/>
          <w:right w:val="nil"/>
          <w:between w:val="nil"/>
        </w:pBdr>
        <w:tabs>
          <w:tab w:val="left" w:pos="113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La prestazione formante oggetto del presente Contratto non prevede rischi da interferenza.</w:t>
      </w:r>
    </w:p>
    <w:p w14:paraId="1D49C4FC" w14:textId="77777777" w:rsidR="00D462FB" w:rsidRPr="00112BF9" w:rsidRDefault="008B3ECF">
      <w:pPr>
        <w:widowControl w:val="0"/>
        <w:pBdr>
          <w:top w:val="nil"/>
          <w:left w:val="nil"/>
          <w:bottom w:val="nil"/>
          <w:right w:val="nil"/>
          <w:between w:val="nil"/>
        </w:pBdr>
        <w:tabs>
          <w:tab w:val="left" w:pos="1134"/>
        </w:tabs>
        <w:spacing w:line="240" w:lineRule="auto"/>
        <w:ind w:left="0" w:right="-1220" w:hanging="2"/>
        <w:jc w:val="center"/>
        <w:rPr>
          <w:rFonts w:ascii="Titillium" w:eastAsia="Arial" w:hAnsi="Titillium" w:cs="Arial"/>
          <w:b/>
          <w:color w:val="000000"/>
          <w:sz w:val="21"/>
          <w:szCs w:val="21"/>
          <w:highlight w:val="white"/>
          <w:u w:val="singl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Norme regolatrici e disciplina applicabile</w:t>
      </w:r>
    </w:p>
    <w:p w14:paraId="3216AE52" w14:textId="77777777" w:rsidR="00D462FB" w:rsidRPr="00112BF9" w:rsidRDefault="008B3ECF">
      <w:pPr>
        <w:widowControl w:val="0"/>
        <w:pBdr>
          <w:top w:val="nil"/>
          <w:left w:val="nil"/>
          <w:bottom w:val="nil"/>
          <w:right w:val="nil"/>
          <w:between w:val="nil"/>
        </w:pBdr>
        <w:tabs>
          <w:tab w:val="left" w:pos="113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L'esecuzione dell’appalto oggetto del presente Contratto è regolata:</w:t>
      </w:r>
    </w:p>
    <w:p w14:paraId="2B2A512A" w14:textId="77777777" w:rsidR="00D462FB" w:rsidRPr="00112BF9" w:rsidRDefault="008B3ECF">
      <w:pPr>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dalle clausole e dagli allegati del presente Contratto e dalla documentazione relativa al presente affidamento;</w:t>
      </w:r>
    </w:p>
    <w:p w14:paraId="117875C7" w14:textId="77777777" w:rsidR="00D462FB" w:rsidRPr="00112BF9" w:rsidRDefault="008B3ECF">
      <w:pPr>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sz w:val="21"/>
          <w:szCs w:val="21"/>
          <w:highlight w:val="white"/>
        </w:rPr>
        <w:t>dal Decreto legislativo 31 marzo 2023, n. 36 e dai relativi allegati;</w:t>
      </w:r>
    </w:p>
    <w:p w14:paraId="554B0BA3" w14:textId="77777777" w:rsidR="00D462FB" w:rsidRPr="00112BF9" w:rsidRDefault="008B3ECF">
      <w:pPr>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sz w:val="21"/>
          <w:szCs w:val="21"/>
          <w:highlight w:val="white"/>
        </w:rPr>
      </w:pPr>
      <w:r w:rsidRPr="00112BF9">
        <w:rPr>
          <w:rFonts w:ascii="Titillium" w:eastAsia="Arial" w:hAnsi="Titillium" w:cs="Arial"/>
          <w:sz w:val="21"/>
          <w:szCs w:val="21"/>
          <w:highlight w:val="white"/>
        </w:rPr>
        <w:t>dal decreto-legge n. 77 del 2021, convertito, con modificazioni, dalla legge n. 108 del 2021, al decreto-legge 24 febbraio 2023, n. 13, nonché le specifiche disposizioni legislative finalizzate a semplificare e agevolare la realizzazione degli obiettivi stabiliti dal PNRR, dal PNC nonché dal Piano nazionale integrato per l'energia e il clima 2030 di cui al regolamento (UE) 2018/1999 del Parlamento europeo e del Consiglio, dell'11 dicembre 2018.</w:t>
      </w:r>
    </w:p>
    <w:p w14:paraId="3B0A5CD5"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 Decreto del Presidente della Repubblica 5 ottobre 2010, numero 207 e successive modifiche ed integrazioni per le parti ancora vigenti;</w:t>
      </w:r>
    </w:p>
    <w:p w14:paraId="17983172"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 "Regolamento sulla amministrazione, sulla contabilità e sulla attività contrattuale dell’Istituto Nazionale di Astrofisica", predisposto ai sensi dell’articolo 18, commi 1 e 3, del Decreto Legislativo 4 giugno 2003, numero 138, approvato dal Consiglio di Amministrazione con la Delibera del 2 dicembre 2004, numero 3, e pubblicato nel Supplemento Ordinario della Gazzetta Ufficiale della Repubblica Italiana, Serie Generale, del 23 dicembre 2004, numero 300, successivamente modificato con Delibera del 2 luglio 2009, numero 46;</w:t>
      </w:r>
    </w:p>
    <w:p w14:paraId="44ADA2A1"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dalle norme in materia di Amministrazione del Patrimonio e Contabilità di Stato;</w:t>
      </w:r>
    </w:p>
    <w:p w14:paraId="5444C783"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 Codice Civile;</w:t>
      </w:r>
    </w:p>
    <w:p w14:paraId="6DA6E24D"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 Decreto Legislativo 9 aprile 2008, numero 81 e successive modifiche ed integrazioni;</w:t>
      </w:r>
    </w:p>
    <w:p w14:paraId="36448B86"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 Regolamento UE numero 679/2016 e dal D.lgs. numero 196/203 e successive modifiche ed integrazioni;</w:t>
      </w:r>
    </w:p>
    <w:p w14:paraId="7EA96EB7"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dalla Legge 14 Giugno 2019, numero 55 di conversione del D.L. numero 32/2019;</w:t>
      </w:r>
    </w:p>
    <w:p w14:paraId="450956EB"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dalla Legge 11 Settembre 2020, numero 120 di conversione del D.L. numero 76/2020;</w:t>
      </w:r>
    </w:p>
    <w:p w14:paraId="125859B4"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dalla Legge 29 Luglio numero 108/2021 di conversione del D. L. 77/2021;</w:t>
      </w:r>
    </w:p>
    <w:p w14:paraId="62760A2E"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 Decreto-Legge 9 giugno 2021, numero 80, convertito con modificazioni dalla Legge 6 agosto 2021, numero 113;</w:t>
      </w:r>
    </w:p>
    <w:p w14:paraId="657184F7"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 Decreto del Ministero delle Infrastrutture del 7 marzo 2018, numero 49;</w:t>
      </w:r>
    </w:p>
    <w:p w14:paraId="4F06D40B" w14:textId="77777777" w:rsidR="00D462FB" w:rsidRPr="00112BF9" w:rsidRDefault="008B3ECF">
      <w:pPr>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 Decreto Legge 27 gennaio 2022, numero 4, convertito con modificazioni dalla Legge 28 marzo 2022 numero 25;</w:t>
      </w:r>
    </w:p>
    <w:p w14:paraId="54017B71" w14:textId="77777777" w:rsidR="00D462FB" w:rsidRPr="00112BF9" w:rsidRDefault="008B3ECF">
      <w:pPr>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 Regolamento del Parlamento Europeo e del Consiglio del 12 febbraio 2021 numero UE 2021/241;</w:t>
      </w:r>
    </w:p>
    <w:p w14:paraId="57E988E6" w14:textId="77777777" w:rsidR="00D462FB" w:rsidRPr="00112BF9" w:rsidRDefault="008B3ECF">
      <w:pPr>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lastRenderedPageBreak/>
        <w:t>dal "Piano Nazionale di Ripresa e Resilienza", che è stato ufficialmente presentato alla Commissione Europea in data 30 aprile 2021, ai sensi dell’articolo 18 del Regolamento innanzi richiamato, definitivamente approvato dal Consiglio Europeo "Economia e Finanza" con la Delibera del 13 luglio 2021 e notificato all’Italia dal Segretariato Generale del Consiglio Europeo con la nota del 14 luglio 2021, numero di protocollo LT161/21;;</w:t>
      </w:r>
    </w:p>
    <w:p w14:paraId="3535BA25" w14:textId="77777777" w:rsidR="00D462FB" w:rsidRPr="00112BF9" w:rsidRDefault="008B3ECF">
      <w:pPr>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 Regolamento (UE) 2018/1046 del 18 luglio 2018, che stabilisce le regole finanziarie applicabili al bilancio generale dell’Unione, che modifica i Regolamenti (UE) numero 1296/2013, numero 1301/2013, numero 1303/2013, numero 1304/2013, numero 1309/2013, numero 1316/2013, numero 223/2014, numero 283/2014 e la decisione numero 541/2014/UE e abroga il regolamento (UE, Euratom) numero 966/2012;</w:t>
      </w:r>
    </w:p>
    <w:p w14:paraId="6932E811" w14:textId="77777777" w:rsidR="00D462FB" w:rsidRPr="00112BF9" w:rsidRDefault="008B3ECF">
      <w:pPr>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 Decreto Legge 6 maggio 2021, numero 59 convertito con modificazioni dalla Legge 1° luglio 2021, numero 101, recante “Misure urgenti relative al Fondo complementare al Piano Nazionale di Ripresa e Resilienza e altre misure urgenti per gli investimenti”;</w:t>
      </w:r>
    </w:p>
    <w:p w14:paraId="60FDD114"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dalla Legge 16 gennaio 2003, numero 3, recante “Disposizioni ordinamentali in materia di pubblica amministrazione” e, in particolare, l’articolo 11, comma 2-bis, ai sensi del quale “Gli atti amministrativi anche di natura regolamentare adottati dalle Amministrazioni di cui all’articolo 1, comma 2, del decreto legislativo 30 marzo 2001, numero 165, che dispongono il finanziamento pubblico o autorizzano l’esecuzione di progetti di investimento pubblico, sono nulli in assenza dei corrispondenti codici di cui al comma 1 che costituiscono elemento essenziale dell'atto stesso; </w:t>
      </w:r>
    </w:p>
    <w:p w14:paraId="044AE49B"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dalla Delibera del Comitato Interministeriale per l’Economia (CIPE) numero 63 del 26 novembre 2020 che introduce la normativa attuativa della riforma del Codice Identificativo di Progetto (CUP); </w:t>
      </w:r>
    </w:p>
    <w:p w14:paraId="4830B6D8"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hAnsi="Titillium"/>
          <w:color w:val="000000"/>
          <w:sz w:val="21"/>
          <w:szCs w:val="21"/>
          <w:highlight w:val="white"/>
        </w:rPr>
      </w:pPr>
      <w:r w:rsidRPr="00112BF9">
        <w:rPr>
          <w:rFonts w:ascii="Titillium" w:eastAsia="Arial" w:hAnsi="Titillium" w:cs="Arial"/>
          <w:color w:val="000000"/>
          <w:sz w:val="21"/>
          <w:szCs w:val="21"/>
          <w:highlight w:val="white"/>
        </w:rPr>
        <w:t>dal Decreto del Ministro dell’economia e delle finanze del 6 agosto 2021 relativo all’assegnazione delle risorse in favore di ciascuna Amministrazione titolare degli interventi nell’ambito del Piano Nazionale di Ripresa e Resilienza</w:t>
      </w:r>
      <w:r w:rsidRPr="00112BF9">
        <w:rPr>
          <w:rFonts w:ascii="Titillium" w:eastAsia="Arial" w:hAnsi="Titillium" w:cs="Arial"/>
          <w:b/>
          <w:color w:val="000000"/>
          <w:sz w:val="21"/>
          <w:szCs w:val="21"/>
          <w:highlight w:val="white"/>
        </w:rPr>
        <w:t xml:space="preserve"> </w:t>
      </w:r>
      <w:r w:rsidRPr="00112BF9">
        <w:rPr>
          <w:rFonts w:ascii="Titillium" w:eastAsia="Arial" w:hAnsi="Titillium" w:cs="Arial"/>
          <w:color w:val="000000"/>
          <w:sz w:val="21"/>
          <w:szCs w:val="21"/>
          <w:highlight w:val="white"/>
        </w:rPr>
        <w:t xml:space="preserve">e corrispondenti </w:t>
      </w:r>
      <w:r w:rsidRPr="00112BF9">
        <w:rPr>
          <w:rFonts w:ascii="Titillium" w:eastAsia="Arial" w:hAnsi="Titillium" w:cs="Arial"/>
          <w:i/>
          <w:color w:val="000000"/>
          <w:sz w:val="21"/>
          <w:szCs w:val="21"/>
          <w:highlight w:val="white"/>
        </w:rPr>
        <w:t>milestone</w:t>
      </w:r>
      <w:r w:rsidRPr="00112BF9">
        <w:rPr>
          <w:rFonts w:ascii="Titillium" w:eastAsia="Arial" w:hAnsi="Titillium" w:cs="Arial"/>
          <w:color w:val="000000"/>
          <w:sz w:val="21"/>
          <w:szCs w:val="21"/>
          <w:highlight w:val="white"/>
        </w:rPr>
        <w:t xml:space="preserve"> e </w:t>
      </w:r>
      <w:r w:rsidRPr="00112BF9">
        <w:rPr>
          <w:rFonts w:ascii="Titillium" w:eastAsia="Arial" w:hAnsi="Titillium" w:cs="Arial"/>
          <w:i/>
          <w:color w:val="000000"/>
          <w:sz w:val="21"/>
          <w:szCs w:val="21"/>
          <w:highlight w:val="white"/>
        </w:rPr>
        <w:t>target</w:t>
      </w:r>
      <w:r w:rsidRPr="00112BF9">
        <w:rPr>
          <w:rFonts w:ascii="Titillium" w:eastAsia="Arial" w:hAnsi="Titillium" w:cs="Arial"/>
          <w:color w:val="000000"/>
          <w:sz w:val="21"/>
          <w:szCs w:val="21"/>
          <w:highlight w:val="white"/>
        </w:rPr>
        <w:t xml:space="preserve">; </w:t>
      </w:r>
    </w:p>
    <w:p w14:paraId="0FE36094"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dall’articolo 1, comma 1042 della legge 30 dicembre 2020, numero 178, ai sensi del quale con uno o più decreti del Ministero dell’Economia e delle Finanze sono stabilite le procedure amministrativo contabili per la gestione delle risorse di cui ai commi da 1037 a 1050, nonché' le modalità di rendicontazione della gestione del Fondo di cui al comma 1037; </w:t>
      </w:r>
    </w:p>
    <w:p w14:paraId="20FCB4A8"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hAnsi="Titillium"/>
          <w:color w:val="000000"/>
          <w:sz w:val="21"/>
          <w:szCs w:val="21"/>
          <w:highlight w:val="white"/>
        </w:rPr>
      </w:pPr>
      <w:r w:rsidRPr="00112BF9">
        <w:rPr>
          <w:rFonts w:ascii="Titillium" w:eastAsia="Arial" w:hAnsi="Titillium" w:cs="Arial"/>
          <w:color w:val="000000"/>
          <w:sz w:val="21"/>
          <w:szCs w:val="21"/>
          <w:highlight w:val="white"/>
        </w:rPr>
        <w:t>dall’articolo 1, comma 1043, secondo periodo della Legge 30 dicembre 2020, numero 178, ai sensi del quale al fine di supportare le attività di gestione, di monitoraggio, di rendicontazione e di controllo delle componenti del Next Generation EU, il Ministero dell’Economia e delle Finanze</w:t>
      </w:r>
      <w:r w:rsidRPr="00112BF9">
        <w:rPr>
          <w:rFonts w:ascii="Titillium" w:eastAsia="Arial" w:hAnsi="Titillium" w:cs="Arial"/>
          <w:b/>
          <w:color w:val="000000"/>
          <w:sz w:val="21"/>
          <w:szCs w:val="21"/>
          <w:highlight w:val="white"/>
        </w:rPr>
        <w:t xml:space="preserve">, </w:t>
      </w:r>
      <w:r w:rsidRPr="00112BF9">
        <w:rPr>
          <w:rFonts w:ascii="Titillium" w:eastAsia="Arial" w:hAnsi="Titillium" w:cs="Arial"/>
          <w:color w:val="000000"/>
          <w:sz w:val="21"/>
          <w:szCs w:val="21"/>
          <w:highlight w:val="white"/>
        </w:rPr>
        <w:t xml:space="preserve">Dipartimento della Ragioneria Generale dello Stato sviluppa e rende disponibile un apposito sistema informatico; </w:t>
      </w:r>
    </w:p>
    <w:p w14:paraId="19AB4EED"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dalla Circolare del 10 febbraio 2022, numero 9, emanata dal "</w:t>
      </w:r>
      <w:r w:rsidRPr="00112BF9">
        <w:rPr>
          <w:rFonts w:ascii="Titillium" w:eastAsia="Arial" w:hAnsi="Titillium" w:cs="Arial"/>
          <w:i/>
          <w:color w:val="000000"/>
          <w:sz w:val="21"/>
          <w:szCs w:val="21"/>
          <w:highlight w:val="white"/>
        </w:rPr>
        <w:t>Dipartimento della Ragioneria Generale dello Stato</w:t>
      </w:r>
      <w:r w:rsidRPr="00112BF9">
        <w:rPr>
          <w:rFonts w:ascii="Titillium" w:eastAsia="Arial" w:hAnsi="Titillium" w:cs="Arial"/>
          <w:color w:val="000000"/>
          <w:sz w:val="21"/>
          <w:szCs w:val="21"/>
          <w:highlight w:val="white"/>
        </w:rPr>
        <w:t>" del "</w:t>
      </w:r>
      <w:r w:rsidRPr="00112BF9">
        <w:rPr>
          <w:rFonts w:ascii="Titillium" w:eastAsia="Arial" w:hAnsi="Titillium" w:cs="Arial"/>
          <w:i/>
          <w:color w:val="000000"/>
          <w:sz w:val="21"/>
          <w:szCs w:val="21"/>
          <w:highlight w:val="white"/>
        </w:rPr>
        <w:t>Ministero della Economia e delle Finanze</w:t>
      </w:r>
      <w:r w:rsidRPr="00112BF9">
        <w:rPr>
          <w:rFonts w:ascii="Titillium" w:eastAsia="Arial" w:hAnsi="Titillium" w:cs="Arial"/>
          <w:color w:val="000000"/>
          <w:sz w:val="21"/>
          <w:szCs w:val="21"/>
          <w:highlight w:val="white"/>
        </w:rPr>
        <w:t>", con la quale sono state definite e trasmesse le "</w:t>
      </w:r>
      <w:r w:rsidRPr="00112BF9">
        <w:rPr>
          <w:rFonts w:ascii="Titillium" w:eastAsia="Arial" w:hAnsi="Titillium" w:cs="Arial"/>
          <w:i/>
          <w:color w:val="000000"/>
          <w:sz w:val="21"/>
          <w:szCs w:val="21"/>
          <w:highlight w:val="white"/>
        </w:rPr>
        <w:t>Istruzioni tecniche per la redazione dei sistemi di gestione e di controllo delle Amministrazioni Centrali titolari di interventi previsti dal Piano Nazionale di Ripresa e Resilienza</w:t>
      </w:r>
      <w:r w:rsidRPr="00112BF9">
        <w:rPr>
          <w:rFonts w:ascii="Titillium" w:eastAsia="Arial" w:hAnsi="Titillium" w:cs="Arial"/>
          <w:color w:val="000000"/>
          <w:sz w:val="21"/>
          <w:szCs w:val="21"/>
          <w:highlight w:val="white"/>
        </w:rPr>
        <w:t>";</w:t>
      </w:r>
    </w:p>
    <w:p w14:paraId="5BFF8EEC"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dalla Circolare del 21 giugno 2022, numero 27, emanata dal "</w:t>
      </w:r>
      <w:r w:rsidRPr="00112BF9">
        <w:rPr>
          <w:rFonts w:ascii="Titillium" w:eastAsia="Arial" w:hAnsi="Titillium" w:cs="Arial"/>
          <w:i/>
          <w:color w:val="000000"/>
          <w:sz w:val="21"/>
          <w:szCs w:val="21"/>
          <w:highlight w:val="white"/>
        </w:rPr>
        <w:t>Dipartimento della Ragioneria Generale dello Stato</w:t>
      </w:r>
      <w:r w:rsidRPr="00112BF9">
        <w:rPr>
          <w:rFonts w:ascii="Titillium" w:eastAsia="Arial" w:hAnsi="Titillium" w:cs="Arial"/>
          <w:color w:val="000000"/>
          <w:sz w:val="21"/>
          <w:szCs w:val="21"/>
          <w:highlight w:val="white"/>
        </w:rPr>
        <w:t>" del "</w:t>
      </w:r>
      <w:r w:rsidRPr="00112BF9">
        <w:rPr>
          <w:rFonts w:ascii="Titillium" w:eastAsia="Arial" w:hAnsi="Titillium" w:cs="Arial"/>
          <w:i/>
          <w:color w:val="000000"/>
          <w:sz w:val="21"/>
          <w:szCs w:val="21"/>
          <w:highlight w:val="white"/>
        </w:rPr>
        <w:t>Ministero della Economia e delle Finanze</w:t>
      </w:r>
      <w:r w:rsidRPr="00112BF9">
        <w:rPr>
          <w:rFonts w:ascii="Titillium" w:eastAsia="Arial" w:hAnsi="Titillium" w:cs="Arial"/>
          <w:color w:val="000000"/>
          <w:sz w:val="21"/>
          <w:szCs w:val="21"/>
          <w:highlight w:val="white"/>
        </w:rPr>
        <w:t>", che disciplina il "</w:t>
      </w:r>
      <w:r w:rsidRPr="00112BF9">
        <w:rPr>
          <w:rFonts w:ascii="Titillium" w:eastAsia="Arial" w:hAnsi="Titillium" w:cs="Arial"/>
          <w:i/>
          <w:color w:val="000000"/>
          <w:sz w:val="21"/>
          <w:szCs w:val="21"/>
          <w:highlight w:val="white"/>
        </w:rPr>
        <w:t>Monitoraggio delle Misure previste dal Piano Nazionale di Ripresa e Resilienza</w:t>
      </w:r>
      <w:r w:rsidRPr="00112BF9">
        <w:rPr>
          <w:rFonts w:ascii="Titillium" w:eastAsia="Arial" w:hAnsi="Titillium" w:cs="Arial"/>
          <w:color w:val="000000"/>
          <w:sz w:val="21"/>
          <w:szCs w:val="21"/>
          <w:highlight w:val="white"/>
        </w:rPr>
        <w:t>";</w:t>
      </w:r>
    </w:p>
    <w:p w14:paraId="761ACFBE"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dalla Circolare dell’11 agosto 2022, numero 30, emanata dal "</w:t>
      </w:r>
      <w:r w:rsidRPr="00112BF9">
        <w:rPr>
          <w:rFonts w:ascii="Titillium" w:eastAsia="Arial" w:hAnsi="Titillium" w:cs="Arial"/>
          <w:i/>
          <w:color w:val="000000"/>
          <w:sz w:val="21"/>
          <w:szCs w:val="21"/>
          <w:highlight w:val="white"/>
        </w:rPr>
        <w:t>Dipartimento della Ragioneria Generale dello Stato</w:t>
      </w:r>
      <w:r w:rsidRPr="00112BF9">
        <w:rPr>
          <w:rFonts w:ascii="Titillium" w:eastAsia="Arial" w:hAnsi="Titillium" w:cs="Arial"/>
          <w:color w:val="000000"/>
          <w:sz w:val="21"/>
          <w:szCs w:val="21"/>
          <w:highlight w:val="white"/>
        </w:rPr>
        <w:t>" del "</w:t>
      </w:r>
      <w:r w:rsidRPr="00112BF9">
        <w:rPr>
          <w:rFonts w:ascii="Titillium" w:eastAsia="Arial" w:hAnsi="Titillium" w:cs="Arial"/>
          <w:i/>
          <w:color w:val="000000"/>
          <w:sz w:val="21"/>
          <w:szCs w:val="21"/>
          <w:highlight w:val="white"/>
        </w:rPr>
        <w:t>Ministero della Economia e delle Finanze</w:t>
      </w:r>
      <w:r w:rsidRPr="00112BF9">
        <w:rPr>
          <w:rFonts w:ascii="Titillium" w:eastAsia="Arial" w:hAnsi="Titillium" w:cs="Arial"/>
          <w:color w:val="000000"/>
          <w:sz w:val="21"/>
          <w:szCs w:val="21"/>
          <w:highlight w:val="white"/>
        </w:rPr>
        <w:t>", che definisce le "</w:t>
      </w:r>
      <w:r w:rsidRPr="00112BF9">
        <w:rPr>
          <w:rFonts w:ascii="Titillium" w:eastAsia="Arial" w:hAnsi="Titillium" w:cs="Arial"/>
          <w:i/>
          <w:color w:val="000000"/>
          <w:sz w:val="21"/>
          <w:szCs w:val="21"/>
          <w:highlight w:val="white"/>
        </w:rPr>
        <w:t>Linee Guida per lo svolgimento delle attività di controllo e rendicontazione delle Misure previste dal Piano Nazionale di Ripresa e Resilienza di competenza delle Amministrazioni Centrali e dei Soggetti Attuatori</w:t>
      </w:r>
      <w:r w:rsidRPr="00112BF9">
        <w:rPr>
          <w:rFonts w:ascii="Titillium" w:eastAsia="Arial" w:hAnsi="Titillium" w:cs="Arial"/>
          <w:color w:val="000000"/>
          <w:sz w:val="21"/>
          <w:szCs w:val="21"/>
          <w:highlight w:val="white"/>
        </w:rPr>
        <w:t>";</w:t>
      </w:r>
    </w:p>
    <w:p w14:paraId="7DA0AE52"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dalla Circolare del 13 ottobre 2022, numero 33, emanata dal "</w:t>
      </w:r>
      <w:r w:rsidRPr="00112BF9">
        <w:rPr>
          <w:rFonts w:ascii="Titillium" w:eastAsia="Arial" w:hAnsi="Titillium" w:cs="Arial"/>
          <w:i/>
          <w:color w:val="000000"/>
          <w:sz w:val="21"/>
          <w:szCs w:val="21"/>
          <w:highlight w:val="white"/>
        </w:rPr>
        <w:t>Dipartimento della Ragioneria Generale dello Stato</w:t>
      </w:r>
      <w:r w:rsidRPr="00112BF9">
        <w:rPr>
          <w:rFonts w:ascii="Titillium" w:eastAsia="Arial" w:hAnsi="Titillium" w:cs="Arial"/>
          <w:color w:val="000000"/>
          <w:sz w:val="21"/>
          <w:szCs w:val="21"/>
          <w:highlight w:val="white"/>
        </w:rPr>
        <w:t>" del "</w:t>
      </w:r>
      <w:r w:rsidRPr="00112BF9">
        <w:rPr>
          <w:rFonts w:ascii="Titillium" w:eastAsia="Arial" w:hAnsi="Titillium" w:cs="Arial"/>
          <w:i/>
          <w:color w:val="000000"/>
          <w:sz w:val="21"/>
          <w:szCs w:val="21"/>
          <w:highlight w:val="white"/>
        </w:rPr>
        <w:t>Ministero della Economia e delle Finanze</w:t>
      </w:r>
      <w:r w:rsidRPr="00112BF9">
        <w:rPr>
          <w:rFonts w:ascii="Titillium" w:eastAsia="Arial" w:hAnsi="Titillium" w:cs="Arial"/>
          <w:color w:val="000000"/>
          <w:sz w:val="21"/>
          <w:szCs w:val="21"/>
          <w:highlight w:val="white"/>
        </w:rPr>
        <w:t>", con la quale è stata aggiornata la "</w:t>
      </w:r>
      <w:r w:rsidRPr="00112BF9">
        <w:rPr>
          <w:rFonts w:ascii="Titillium" w:eastAsia="Arial" w:hAnsi="Titillium" w:cs="Arial"/>
          <w:i/>
          <w:color w:val="000000"/>
          <w:sz w:val="21"/>
          <w:szCs w:val="21"/>
          <w:highlight w:val="white"/>
        </w:rPr>
        <w:t xml:space="preserve">Guida operativa per il rispetto del principio di non arrecare danno significativo </w:t>
      </w:r>
      <w:r w:rsidRPr="00112BF9">
        <w:rPr>
          <w:rFonts w:ascii="Titillium" w:eastAsia="Arial" w:hAnsi="Titillium" w:cs="Arial"/>
          <w:i/>
          <w:color w:val="000000"/>
          <w:sz w:val="21"/>
          <w:szCs w:val="21"/>
          <w:highlight w:val="white"/>
        </w:rPr>
        <w:lastRenderedPageBreak/>
        <w:t>all'ambiente (cosiddetto DNSH)</w:t>
      </w:r>
      <w:r w:rsidRPr="00112BF9">
        <w:rPr>
          <w:rFonts w:ascii="Titillium" w:eastAsia="Arial" w:hAnsi="Titillium" w:cs="Arial"/>
          <w:color w:val="000000"/>
          <w:sz w:val="21"/>
          <w:szCs w:val="21"/>
          <w:highlight w:val="white"/>
        </w:rPr>
        <w:t>";</w:t>
      </w:r>
    </w:p>
    <w:p w14:paraId="184C7B33"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hAnsi="Titillium"/>
          <w:color w:val="000000"/>
          <w:sz w:val="21"/>
          <w:szCs w:val="21"/>
          <w:highlight w:val="white"/>
        </w:rPr>
      </w:pPr>
      <w:r w:rsidRPr="00112BF9">
        <w:rPr>
          <w:rFonts w:ascii="Titillium" w:eastAsia="Arial" w:hAnsi="Titillium" w:cs="Arial"/>
          <w:color w:val="000000"/>
          <w:sz w:val="21"/>
          <w:szCs w:val="21"/>
          <w:highlight w:val="white"/>
        </w:rPr>
        <w:t>dall’articolo 17 Regolamento UE 2020/852 che definisce gli obiettivi ambientali, tra cui il principio di non arrecare un danno significativo (</w:t>
      </w:r>
      <w:r w:rsidRPr="00112BF9">
        <w:rPr>
          <w:rFonts w:ascii="Titillium" w:eastAsia="Arial" w:hAnsi="Titillium" w:cs="Arial"/>
          <w:b/>
          <w:i/>
          <w:color w:val="000000"/>
          <w:sz w:val="21"/>
          <w:szCs w:val="21"/>
          <w:highlight w:val="white"/>
        </w:rPr>
        <w:t>DNSH</w:t>
      </w:r>
      <w:r w:rsidRPr="00112BF9">
        <w:rPr>
          <w:rFonts w:ascii="Titillium" w:eastAsia="Arial" w:hAnsi="Titillium" w:cs="Arial"/>
          <w:color w:val="000000"/>
          <w:sz w:val="21"/>
          <w:szCs w:val="21"/>
          <w:highlight w:val="white"/>
        </w:rPr>
        <w:t>, “</w:t>
      </w:r>
      <w:r w:rsidRPr="00112BF9">
        <w:rPr>
          <w:rFonts w:ascii="Titillium" w:eastAsia="Arial" w:hAnsi="Titillium" w:cs="Arial"/>
          <w:b/>
          <w:i/>
          <w:color w:val="000000"/>
          <w:sz w:val="21"/>
          <w:szCs w:val="21"/>
          <w:highlight w:val="white"/>
        </w:rPr>
        <w:t>Do no significant harm</w:t>
      </w:r>
      <w:r w:rsidRPr="00112BF9">
        <w:rPr>
          <w:rFonts w:ascii="Titillium" w:eastAsia="Arial" w:hAnsi="Titillium" w:cs="Arial"/>
          <w:color w:val="000000"/>
          <w:sz w:val="21"/>
          <w:szCs w:val="21"/>
          <w:highlight w:val="white"/>
        </w:rPr>
        <w:t>”), e la Comunicazione della Commissione UE 2021/C 58/01 recante “</w:t>
      </w:r>
      <w:r w:rsidRPr="00112BF9">
        <w:rPr>
          <w:rFonts w:ascii="Titillium" w:eastAsia="Arial" w:hAnsi="Titillium" w:cs="Arial"/>
          <w:i/>
          <w:color w:val="000000"/>
          <w:sz w:val="21"/>
          <w:szCs w:val="21"/>
          <w:highlight w:val="white"/>
        </w:rPr>
        <w:t>Orientamenti tecnici sull’applicazione del principio «non arrecare un danno significativo» a norma del regolamento sul dispositivo per la ripresa e la resilienza</w:t>
      </w:r>
      <w:r w:rsidRPr="00112BF9">
        <w:rPr>
          <w:rFonts w:ascii="Titillium" w:eastAsia="Arial" w:hAnsi="Titillium" w:cs="Arial"/>
          <w:color w:val="000000"/>
          <w:sz w:val="21"/>
          <w:szCs w:val="21"/>
          <w:highlight w:val="white"/>
        </w:rPr>
        <w:t>”;</w:t>
      </w:r>
    </w:p>
    <w:p w14:paraId="491F0D4C"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bookmarkStart w:id="2" w:name="_heading=h.30j0zll" w:colFirst="0" w:colLast="0"/>
      <w:bookmarkEnd w:id="2"/>
      <w:r w:rsidRPr="00112BF9">
        <w:rPr>
          <w:rFonts w:ascii="Titillium" w:eastAsia="Arial" w:hAnsi="Titillium" w:cs="Arial"/>
          <w:color w:val="000000"/>
          <w:sz w:val="21"/>
          <w:szCs w:val="21"/>
          <w:highlight w:val="white"/>
        </w:rPr>
        <w:t>dai principi trasversali previsti dal Piano Nazionale di Ripresa e Resilienza, quali, tra l’altro, il principio del contributo all’obiettivo climatico e digitale (c.d. tagging), il principio di parità di genere e l’obbligo di protezione e valorizzazione dei giovani;</w:t>
      </w:r>
    </w:p>
    <w:p w14:paraId="474DF82C"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Obblighi di assicurare il conseguimento di target e milestone e degli obiettivi finanziari stabiliti nel Piano Nazionale di Ripresa e Resilienza</w:t>
      </w:r>
    </w:p>
    <w:p w14:paraId="1536887A" w14:textId="77777777" w:rsidR="00D462FB" w:rsidRPr="00112BF9" w:rsidRDefault="008B3ECF">
      <w:pPr>
        <w:keepNext/>
        <w:widowControl w:val="0"/>
        <w:numPr>
          <w:ilvl w:val="0"/>
          <w:numId w:val="1"/>
        </w:num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dalle restanti disposizioni normative e regolamentari, applicabili in materia di appalti pubblici e da tutte le disposizioni normative e regolamentari e le circolari adottate in materia di attuazione del Piano Nazionale di Ripresa e Resilienza.</w:t>
      </w:r>
    </w:p>
    <w:p w14:paraId="681E77A6" w14:textId="77777777" w:rsidR="00D462FB" w:rsidRPr="00112BF9" w:rsidRDefault="00D462FB">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p>
    <w:p w14:paraId="73E11882" w14:textId="77777777" w:rsidR="00D462FB" w:rsidRPr="00112BF9" w:rsidRDefault="008B3ECF">
      <w:pPr>
        <w:keepNext/>
        <w:widowControl w:val="0"/>
        <w:pBdr>
          <w:top w:val="nil"/>
          <w:left w:val="nil"/>
          <w:bottom w:val="nil"/>
          <w:right w:val="nil"/>
          <w:between w:val="nil"/>
        </w:pBdr>
        <w:tabs>
          <w:tab w:val="left" w:pos="0"/>
          <w:tab w:val="left" w:pos="284"/>
          <w:tab w:val="left" w:pos="1134"/>
        </w:tabs>
        <w:spacing w:line="240" w:lineRule="auto"/>
        <w:ind w:left="0" w:right="-1220" w:hanging="2"/>
        <w:jc w:val="center"/>
        <w:rPr>
          <w:rFonts w:ascii="Titillium" w:eastAsia="Arial" w:hAnsi="Titillium" w:cs="Arial"/>
          <w:b/>
          <w:color w:val="000000"/>
          <w:sz w:val="21"/>
          <w:szCs w:val="21"/>
          <w:highlight w:val="white"/>
          <w:u w:val="singl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Oggetto del Contratto</w:t>
      </w:r>
    </w:p>
    <w:p w14:paraId="407711E4" w14:textId="77777777" w:rsidR="00DE0EFA" w:rsidRPr="00112BF9" w:rsidRDefault="00DE0EFA">
      <w:pPr>
        <w:keepNext/>
        <w:widowControl w:val="0"/>
        <w:pBdr>
          <w:top w:val="nil"/>
          <w:left w:val="nil"/>
          <w:bottom w:val="nil"/>
          <w:right w:val="nil"/>
          <w:between w:val="nil"/>
        </w:pBdr>
        <w:tabs>
          <w:tab w:val="left" w:pos="0"/>
          <w:tab w:val="left" w:pos="284"/>
          <w:tab w:val="left" w:pos="1134"/>
        </w:tabs>
        <w:spacing w:line="240" w:lineRule="auto"/>
        <w:ind w:left="0" w:right="-1220" w:hanging="2"/>
        <w:jc w:val="center"/>
        <w:rPr>
          <w:rFonts w:ascii="Titillium" w:eastAsia="Arial" w:hAnsi="Titillium" w:cs="Arial"/>
          <w:b/>
          <w:color w:val="000000"/>
          <w:sz w:val="21"/>
          <w:szCs w:val="21"/>
          <w:highlight w:val="white"/>
        </w:rPr>
      </w:pPr>
    </w:p>
    <w:p w14:paraId="24578311" w14:textId="77777777" w:rsidR="00DE0EFA" w:rsidRPr="00112BF9" w:rsidRDefault="008B3ECF" w:rsidP="00DE0EFA">
      <w:pPr>
        <w:ind w:left="0" w:right="-1220" w:hanging="2"/>
        <w:jc w:val="both"/>
        <w:rPr>
          <w:rFonts w:ascii="Titillium" w:eastAsia="Arial" w:hAnsi="Titillium" w:cs="Arial"/>
          <w:b/>
          <w:sz w:val="21"/>
          <w:szCs w:val="21"/>
        </w:rPr>
      </w:pPr>
      <w:r w:rsidRPr="00112BF9">
        <w:rPr>
          <w:rFonts w:ascii="Titillium" w:eastAsia="Arial" w:hAnsi="Titillium" w:cs="Arial"/>
          <w:color w:val="000000"/>
          <w:sz w:val="21"/>
          <w:szCs w:val="21"/>
          <w:highlight w:val="white"/>
        </w:rPr>
        <w:t xml:space="preserve">Oggetto del presente </w:t>
      </w:r>
      <w:r w:rsidRPr="00112BF9">
        <w:rPr>
          <w:rFonts w:ascii="Titillium" w:eastAsia="Arial" w:hAnsi="Titillium" w:cs="Arial"/>
          <w:color w:val="000000" w:themeColor="text1"/>
          <w:sz w:val="21"/>
          <w:szCs w:val="21"/>
          <w:highlight w:val="white"/>
        </w:rPr>
        <w:t xml:space="preserve">Contratto è </w:t>
      </w:r>
      <w:r w:rsidR="00DE0EFA" w:rsidRPr="00112BF9">
        <w:rPr>
          <w:rFonts w:ascii="Titillium" w:eastAsia="Arial" w:hAnsi="Titillium" w:cs="Arial"/>
          <w:b/>
          <w:sz w:val="21"/>
          <w:szCs w:val="21"/>
        </w:rPr>
        <w:t>la Fornitura di: “Silicon Drift Detectors per l’esperimento LEM-X” per le esigenze del Progetto dal titolo: "Earth-Moon-Mars", Codice Identificativo: “IR0000038”, Area ESFRI “Physical Science and Engineering", Codice Unico di Progetto: C53C22000870006, Codice Identificativo di Gara: A0386AC95D, ammesso a finanziamento nell’ambito degli "Interventi" previsti dalla "Missione 4", denominata "Istruzione e Ricerca", "Componente 2", denominata "Dalla Ricerca alla Impresa" ("M4C2"), "Linea di Investimento 3.1", denominata "Rafforzamento e creazione di Infrastrutture di Ricerca", del "Piano Nazionale di Ripresa e Resilienza" ("PNRR").</w:t>
      </w:r>
    </w:p>
    <w:p w14:paraId="1D762113" w14:textId="0F95DA75" w:rsidR="00D462FB" w:rsidRPr="00112BF9" w:rsidRDefault="008B3ECF" w:rsidP="00A94DA9">
      <w:pPr>
        <w:keepNext/>
        <w:widowControl w:val="0"/>
        <w:pBdr>
          <w:top w:val="nil"/>
          <w:left w:val="nil"/>
          <w:bottom w:val="nil"/>
          <w:right w:val="nil"/>
          <w:between w:val="nil"/>
        </w:pBdr>
        <w:tabs>
          <w:tab w:val="left" w:pos="0"/>
          <w:tab w:val="left" w:pos="284"/>
          <w:tab w:val="left" w:pos="113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in favore dell</w:t>
      </w:r>
      <w:r w:rsidR="001D7BE2" w:rsidRPr="00112BF9">
        <w:rPr>
          <w:rFonts w:ascii="Titillium" w:eastAsia="Arial" w:hAnsi="Titillium" w:cs="Arial"/>
          <w:color w:val="000000"/>
          <w:sz w:val="21"/>
          <w:szCs w:val="21"/>
          <w:highlight w:val="white"/>
        </w:rPr>
        <w:t xml:space="preserve">o </w:t>
      </w:r>
      <w:r w:rsidR="001D7BE2" w:rsidRPr="00112BF9">
        <w:rPr>
          <w:rFonts w:ascii="Titillium" w:eastAsia="Arial" w:hAnsi="Titillium" w:cs="Arial"/>
          <w:b/>
          <w:color w:val="000000"/>
          <w:sz w:val="21"/>
          <w:szCs w:val="21"/>
          <w:highlight w:val="white"/>
        </w:rPr>
        <w:t>Istituto di Astrofisica e Planetologia Spaziali – INAF</w:t>
      </w:r>
      <w:r w:rsidR="001D7BE2" w:rsidRPr="00112BF9">
        <w:rPr>
          <w:rFonts w:ascii="Titillium" w:eastAsia="Arial" w:hAnsi="Titillium" w:cs="Arial"/>
          <w:color w:val="000000"/>
          <w:sz w:val="21"/>
          <w:szCs w:val="21"/>
          <w:highlight w:val="white"/>
        </w:rPr>
        <w:t xml:space="preserve">, </w:t>
      </w:r>
      <w:r w:rsidR="00A94DA9" w:rsidRPr="00112BF9">
        <w:rPr>
          <w:rFonts w:ascii="Titillium" w:eastAsia="Arial" w:hAnsi="Titillium" w:cs="Arial"/>
          <w:color w:val="000000"/>
          <w:sz w:val="21"/>
          <w:szCs w:val="21"/>
        </w:rPr>
        <w:t>ai fini della realizzazione del Progetto dal titolo "Earth-Moon-Mars/LEM-X", Codice Identificativo: Proposta IR0000038, area ESFRI “Physical Science and Engineering", Codice Unico di Progetto:  C53C22000870006, ammesso a finanziamento nell’ambito degli "Interventi" previsti dalla "Missione 4", denominata "Istruzione e Ricerca", "Componente 2", denominata "Dalla Ricerca alla Impresa" ("M4C2"), "Linea di Investimento 3.1", denominata "Rafforzamento e creazione di Infrastrutture di Ricerca", del "Piano Nazionale di Ripresa e Resilienza" ("PNRR"), CODICE PROCEDURA: EMM-INAF-B-0003,</w:t>
      </w:r>
      <w:r w:rsidR="00A94DA9" w:rsidRPr="00112BF9">
        <w:rPr>
          <w:rFonts w:ascii="Titillium" w:eastAsia="Arial" w:hAnsi="Titillium" w:cs="Arial"/>
          <w:color w:val="000000"/>
          <w:sz w:val="21"/>
          <w:szCs w:val="21"/>
          <w:highlight w:val="white"/>
        </w:rPr>
        <w:t xml:space="preserve"> </w:t>
      </w:r>
      <w:r w:rsidRPr="00112BF9">
        <w:rPr>
          <w:rFonts w:ascii="Titillium" w:eastAsia="Arial" w:hAnsi="Titillium" w:cs="Arial"/>
          <w:sz w:val="21"/>
          <w:szCs w:val="21"/>
          <w:highlight w:val="white"/>
        </w:rPr>
        <w:t>come meglio specificato nel capitolato tecnico, da erogare con le modalità dettagliatamente stabilite nel Capitolato Tecnico e gli altri documenti tecnici.</w:t>
      </w:r>
    </w:p>
    <w:p w14:paraId="57DF9477" w14:textId="77777777" w:rsidR="00D462FB" w:rsidRPr="00112BF9" w:rsidRDefault="008B3ECF">
      <w:pPr>
        <w:keepNext/>
        <w:widowControl w:val="0"/>
        <w:pBdr>
          <w:top w:val="nil"/>
          <w:left w:val="nil"/>
          <w:bottom w:val="nil"/>
          <w:right w:val="nil"/>
          <w:between w:val="nil"/>
        </w:pBdr>
        <w:tabs>
          <w:tab w:val="left" w:pos="0"/>
          <w:tab w:val="left" w:pos="284"/>
          <w:tab w:val="left" w:pos="1134"/>
        </w:tabs>
        <w:spacing w:line="240" w:lineRule="auto"/>
        <w:ind w:left="0" w:right="-1220" w:hanging="2"/>
        <w:jc w:val="both"/>
        <w:rPr>
          <w:rFonts w:ascii="Titillium" w:eastAsia="Arial" w:hAnsi="Titillium" w:cs="Arial"/>
          <w:sz w:val="21"/>
          <w:szCs w:val="21"/>
          <w:highlight w:val="white"/>
        </w:rPr>
      </w:pPr>
      <w:r w:rsidRPr="00112BF9">
        <w:rPr>
          <w:rFonts w:ascii="Titillium" w:eastAsia="Arial" w:hAnsi="Titillium" w:cs="Arial"/>
          <w:sz w:val="21"/>
          <w:szCs w:val="21"/>
          <w:highlight w:val="white"/>
        </w:rPr>
        <w:t>Il Contraente si impegna, altresì, a porre in essere tutte le attività connesse, strumentali e ausiliari dipendenti dal/la servizio/fornitura come meglio descritto e dettagliato nel Capitolato Tecnico e negli altri documenti tecnici.</w:t>
      </w:r>
    </w:p>
    <w:p w14:paraId="374F8CC5" w14:textId="77777777" w:rsidR="00D462FB" w:rsidRPr="00112BF9" w:rsidRDefault="00D462FB">
      <w:pPr>
        <w:keepNext/>
        <w:widowControl w:val="0"/>
        <w:pBdr>
          <w:top w:val="nil"/>
          <w:left w:val="nil"/>
          <w:bottom w:val="nil"/>
          <w:right w:val="nil"/>
          <w:between w:val="nil"/>
        </w:pBdr>
        <w:tabs>
          <w:tab w:val="left" w:pos="0"/>
          <w:tab w:val="left" w:pos="284"/>
          <w:tab w:val="left" w:pos="1134"/>
        </w:tabs>
        <w:spacing w:line="240" w:lineRule="auto"/>
        <w:ind w:left="0" w:right="-1220" w:hanging="2"/>
        <w:jc w:val="both"/>
        <w:rPr>
          <w:rFonts w:ascii="Titillium" w:eastAsia="Arial" w:hAnsi="Titillium" w:cs="Arial"/>
          <w:b/>
          <w:color w:val="C00000"/>
          <w:sz w:val="21"/>
          <w:szCs w:val="21"/>
          <w:highlight w:val="white"/>
        </w:rPr>
      </w:pPr>
    </w:p>
    <w:p w14:paraId="01D83EDB" w14:textId="77777777" w:rsidR="00D462FB" w:rsidRPr="00112BF9" w:rsidRDefault="00D462FB">
      <w:pPr>
        <w:keepNext/>
        <w:widowControl w:val="0"/>
        <w:pBdr>
          <w:top w:val="nil"/>
          <w:left w:val="nil"/>
          <w:bottom w:val="nil"/>
          <w:right w:val="nil"/>
          <w:between w:val="nil"/>
        </w:pBdr>
        <w:tabs>
          <w:tab w:val="left" w:pos="0"/>
          <w:tab w:val="left" w:pos="284"/>
          <w:tab w:val="left" w:pos="1134"/>
        </w:tabs>
        <w:spacing w:line="240" w:lineRule="auto"/>
        <w:ind w:left="0" w:right="-1220" w:hanging="2"/>
        <w:jc w:val="both"/>
        <w:rPr>
          <w:rFonts w:ascii="Titillium" w:eastAsia="Arial" w:hAnsi="Titillium" w:cs="Arial"/>
          <w:sz w:val="21"/>
          <w:szCs w:val="21"/>
          <w:highlight w:val="white"/>
        </w:rPr>
      </w:pPr>
    </w:p>
    <w:p w14:paraId="5FF01081" w14:textId="77777777" w:rsidR="00D462FB" w:rsidRPr="00112BF9" w:rsidRDefault="008B3ECF">
      <w:pPr>
        <w:keepNext/>
        <w:widowControl w:val="0"/>
        <w:pBdr>
          <w:top w:val="nil"/>
          <w:left w:val="nil"/>
          <w:bottom w:val="nil"/>
          <w:right w:val="nil"/>
          <w:between w:val="nil"/>
        </w:pBdr>
        <w:tabs>
          <w:tab w:val="left" w:pos="142"/>
          <w:tab w:val="left" w:pos="284"/>
        </w:tabs>
        <w:spacing w:line="240" w:lineRule="auto"/>
        <w:ind w:left="0" w:right="-1220" w:hanging="2"/>
        <w:jc w:val="center"/>
        <w:rPr>
          <w:rFonts w:ascii="Titillium" w:eastAsia="Arial" w:hAnsi="Titillium" w:cs="Arial"/>
          <w:color w:val="000000"/>
          <w:sz w:val="21"/>
          <w:szCs w:val="21"/>
          <w:highlight w:val="whit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 xml:space="preserve">Termini di consegna </w:t>
      </w:r>
    </w:p>
    <w:p w14:paraId="17B60081" w14:textId="01A338CA" w:rsidR="00D462FB" w:rsidRPr="00112BF9" w:rsidRDefault="008B3ECF">
      <w:pPr>
        <w:keepNext/>
        <w:widowControl w:val="0"/>
        <w:pBdr>
          <w:top w:val="nil"/>
          <w:left w:val="nil"/>
          <w:bottom w:val="nil"/>
          <w:right w:val="nil"/>
          <w:between w:val="nil"/>
        </w:pBdr>
        <w:tabs>
          <w:tab w:val="left" w:pos="142"/>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La/le prestazioni, indicate al precedente articolo, dovranno essere consegnate secondo i tempi e le modalità indicate nella documentazione relativa all’affidamento  di cui alle premesse e dal presente contratto.</w:t>
      </w:r>
    </w:p>
    <w:p w14:paraId="3C3E24F6" w14:textId="77777777" w:rsidR="00D462FB" w:rsidRPr="00112BF9" w:rsidRDefault="008B3ECF">
      <w:pPr>
        <w:keepNext/>
        <w:widowControl w:val="0"/>
        <w:pBdr>
          <w:top w:val="nil"/>
          <w:left w:val="nil"/>
          <w:bottom w:val="nil"/>
          <w:right w:val="nil"/>
          <w:between w:val="nil"/>
        </w:pBdr>
        <w:tabs>
          <w:tab w:val="left" w:pos="142"/>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L’Impresa dovrà eseguire le prestazioni contrattuali nei seguenti termini:</w:t>
      </w:r>
    </w:p>
    <w:p w14:paraId="6A586DC4" w14:textId="77777777" w:rsidR="00A94DA9" w:rsidRPr="00112BF9" w:rsidRDefault="00A94DA9">
      <w:pPr>
        <w:keepNext/>
        <w:widowControl w:val="0"/>
        <w:pBdr>
          <w:top w:val="nil"/>
          <w:left w:val="nil"/>
          <w:bottom w:val="nil"/>
          <w:right w:val="nil"/>
          <w:between w:val="nil"/>
        </w:pBdr>
        <w:tabs>
          <w:tab w:val="left" w:pos="142"/>
          <w:tab w:val="left" w:pos="284"/>
        </w:tabs>
        <w:spacing w:line="240" w:lineRule="auto"/>
        <w:ind w:left="0" w:right="-1220" w:hanging="2"/>
        <w:jc w:val="both"/>
        <w:rPr>
          <w:rFonts w:ascii="Titillium" w:eastAsia="Arial" w:hAnsi="Titillium" w:cs="Arial"/>
          <w:color w:val="000000"/>
          <w:sz w:val="21"/>
          <w:szCs w:val="21"/>
          <w:highlight w:val="white"/>
        </w:rPr>
      </w:pPr>
    </w:p>
    <w:tbl>
      <w:tblPr>
        <w:tblStyle w:val="Grigliatabella1"/>
        <w:tblW w:w="8926" w:type="dxa"/>
        <w:tblInd w:w="-5" w:type="dxa"/>
        <w:tblLayout w:type="fixed"/>
        <w:tblLook w:val="04A0" w:firstRow="1" w:lastRow="0" w:firstColumn="1" w:lastColumn="0" w:noHBand="0" w:noVBand="1"/>
      </w:tblPr>
      <w:tblGrid>
        <w:gridCol w:w="1838"/>
        <w:gridCol w:w="2415"/>
        <w:gridCol w:w="4673"/>
      </w:tblGrid>
      <w:tr w:rsidR="00DE0EFA" w:rsidRPr="00112BF9" w14:paraId="04800DD1" w14:textId="77777777" w:rsidTr="008B3ECF">
        <w:tc>
          <w:tcPr>
            <w:tcW w:w="1838" w:type="dxa"/>
            <w:shd w:val="clear" w:color="auto" w:fill="BDD6EE"/>
          </w:tcPr>
          <w:p w14:paraId="0553FCC4" w14:textId="57C05978" w:rsidR="00DE0EFA" w:rsidRPr="00112BF9" w:rsidRDefault="00DE0EFA" w:rsidP="00DE0EFA">
            <w:pPr>
              <w:widowControl w:val="0"/>
              <w:suppressAutoHyphens w:val="0"/>
              <w:spacing w:after="160" w:line="259" w:lineRule="auto"/>
              <w:ind w:leftChars="0" w:left="0" w:right="-442" w:firstLineChars="0" w:hanging="2"/>
              <w:textDirection w:val="lrTb"/>
              <w:textAlignment w:val="auto"/>
              <w:outlineLvl w:val="9"/>
              <w:rPr>
                <w:rFonts w:ascii="Titillium" w:hAnsi="Titillium"/>
                <w:b/>
                <w:position w:val="0"/>
                <w:sz w:val="21"/>
                <w:szCs w:val="21"/>
                <w:lang w:val="en-US"/>
              </w:rPr>
            </w:pPr>
            <w:r w:rsidRPr="00112BF9">
              <w:rPr>
                <w:rFonts w:ascii="Titillium" w:hAnsi="Titillium"/>
                <w:sz w:val="21"/>
                <w:szCs w:val="21"/>
              </w:rPr>
              <w:t>Evento</w:t>
            </w:r>
          </w:p>
        </w:tc>
        <w:tc>
          <w:tcPr>
            <w:tcW w:w="2415" w:type="dxa"/>
            <w:shd w:val="clear" w:color="auto" w:fill="BDD6EE"/>
          </w:tcPr>
          <w:p w14:paraId="0214AC2C" w14:textId="596741F3" w:rsidR="00DE0EFA" w:rsidRPr="00112BF9" w:rsidRDefault="00DE0EFA" w:rsidP="00DE0EFA">
            <w:pPr>
              <w:widowControl w:val="0"/>
              <w:suppressAutoHyphens w:val="0"/>
              <w:spacing w:after="160" w:line="259" w:lineRule="auto"/>
              <w:ind w:leftChars="0" w:left="0" w:right="-442" w:firstLineChars="0" w:hanging="2"/>
              <w:textDirection w:val="lrTb"/>
              <w:textAlignment w:val="auto"/>
              <w:outlineLvl w:val="9"/>
              <w:rPr>
                <w:rFonts w:ascii="Titillium" w:hAnsi="Titillium"/>
                <w:b/>
                <w:position w:val="0"/>
                <w:sz w:val="21"/>
                <w:szCs w:val="21"/>
                <w:lang w:val="en-US"/>
              </w:rPr>
            </w:pPr>
            <w:r w:rsidRPr="00112BF9">
              <w:rPr>
                <w:rFonts w:ascii="Titillium" w:hAnsi="Titillium"/>
                <w:sz w:val="21"/>
                <w:szCs w:val="21"/>
              </w:rPr>
              <w:t>Data</w:t>
            </w:r>
          </w:p>
        </w:tc>
        <w:tc>
          <w:tcPr>
            <w:tcW w:w="4673" w:type="dxa"/>
            <w:shd w:val="clear" w:color="auto" w:fill="BDD6EE"/>
          </w:tcPr>
          <w:p w14:paraId="6E1DB39A" w14:textId="3A0F5733" w:rsidR="00DE0EFA" w:rsidRPr="00112BF9" w:rsidRDefault="00DE0EFA" w:rsidP="00DE0EFA">
            <w:pPr>
              <w:widowControl w:val="0"/>
              <w:suppressAutoHyphens w:val="0"/>
              <w:spacing w:after="160" w:line="259" w:lineRule="auto"/>
              <w:ind w:leftChars="0" w:left="0" w:right="-442" w:firstLineChars="0" w:hanging="2"/>
              <w:textDirection w:val="lrTb"/>
              <w:textAlignment w:val="auto"/>
              <w:outlineLvl w:val="9"/>
              <w:rPr>
                <w:rFonts w:ascii="Titillium" w:hAnsi="Titillium"/>
                <w:b/>
                <w:position w:val="0"/>
                <w:sz w:val="21"/>
                <w:szCs w:val="21"/>
                <w:lang w:val="en-US"/>
              </w:rPr>
            </w:pPr>
            <w:r w:rsidRPr="00112BF9">
              <w:rPr>
                <w:rFonts w:ascii="Titillium" w:hAnsi="Titillium"/>
                <w:sz w:val="21"/>
                <w:szCs w:val="21"/>
              </w:rPr>
              <w:t>Documentazione o prodotto da consegnare</w:t>
            </w:r>
          </w:p>
        </w:tc>
      </w:tr>
      <w:tr w:rsidR="00DE0EFA" w:rsidRPr="00112BF9" w14:paraId="3845314A" w14:textId="77777777" w:rsidTr="008B3ECF">
        <w:tc>
          <w:tcPr>
            <w:tcW w:w="1838" w:type="dxa"/>
          </w:tcPr>
          <w:p w14:paraId="3F9EC080" w14:textId="4B1A4444" w:rsidR="00DE0EFA" w:rsidRPr="00112BF9" w:rsidRDefault="00DE0EFA" w:rsidP="00DE0EFA">
            <w:pPr>
              <w:widowControl w:val="0"/>
              <w:suppressAutoHyphens w:val="0"/>
              <w:spacing w:after="160" w:line="259" w:lineRule="auto"/>
              <w:ind w:leftChars="0" w:left="0" w:right="-442" w:firstLineChars="0" w:hanging="2"/>
              <w:textDirection w:val="lrTb"/>
              <w:textAlignment w:val="auto"/>
              <w:outlineLvl w:val="9"/>
              <w:rPr>
                <w:rFonts w:ascii="Titillium" w:hAnsi="Titillium"/>
                <w:position w:val="0"/>
                <w:sz w:val="21"/>
                <w:szCs w:val="21"/>
                <w:lang w:val="en-US"/>
              </w:rPr>
            </w:pPr>
            <w:r w:rsidRPr="00112BF9">
              <w:rPr>
                <w:rFonts w:ascii="Titillium" w:hAnsi="Titillium"/>
                <w:sz w:val="21"/>
                <w:szCs w:val="21"/>
              </w:rPr>
              <w:t>Kick-off Meeting</w:t>
            </w:r>
          </w:p>
        </w:tc>
        <w:tc>
          <w:tcPr>
            <w:tcW w:w="2415" w:type="dxa"/>
          </w:tcPr>
          <w:p w14:paraId="484BC378" w14:textId="74657C76" w:rsidR="00DE0EFA" w:rsidRPr="00112BF9" w:rsidRDefault="00DE0EFA" w:rsidP="00DE0EFA">
            <w:pPr>
              <w:widowControl w:val="0"/>
              <w:suppressAutoHyphens w:val="0"/>
              <w:spacing w:after="160" w:line="259" w:lineRule="auto"/>
              <w:ind w:leftChars="0" w:left="0" w:right="-442" w:firstLineChars="0" w:hanging="2"/>
              <w:textDirection w:val="lrTb"/>
              <w:textAlignment w:val="auto"/>
              <w:outlineLvl w:val="9"/>
              <w:rPr>
                <w:rFonts w:ascii="Titillium" w:hAnsi="Titillium"/>
                <w:position w:val="0"/>
                <w:sz w:val="21"/>
                <w:szCs w:val="21"/>
                <w:lang w:val="en-US"/>
              </w:rPr>
            </w:pPr>
            <w:r w:rsidRPr="00112BF9">
              <w:rPr>
                <w:rFonts w:ascii="Titillium" w:hAnsi="Titillium"/>
                <w:sz w:val="21"/>
                <w:szCs w:val="21"/>
              </w:rPr>
              <w:t>T0, entro 7 giorni dalla stipula del Contratto</w:t>
            </w:r>
          </w:p>
        </w:tc>
        <w:tc>
          <w:tcPr>
            <w:tcW w:w="4673" w:type="dxa"/>
          </w:tcPr>
          <w:p w14:paraId="1D96ABB0" w14:textId="77777777" w:rsidR="00DE0EFA" w:rsidRPr="00112BF9" w:rsidRDefault="00DE0EFA" w:rsidP="00DE0EFA">
            <w:pPr>
              <w:widowControl w:val="0"/>
              <w:suppressAutoHyphens w:val="0"/>
              <w:spacing w:after="160" w:line="259" w:lineRule="auto"/>
              <w:ind w:leftChars="0" w:left="0" w:right="-442" w:firstLineChars="0" w:hanging="2"/>
              <w:textDirection w:val="lrTb"/>
              <w:textAlignment w:val="auto"/>
              <w:outlineLvl w:val="9"/>
              <w:rPr>
                <w:rFonts w:ascii="Titillium" w:hAnsi="Titillium"/>
                <w:position w:val="0"/>
                <w:sz w:val="21"/>
                <w:szCs w:val="21"/>
                <w:lang w:val="en-US"/>
              </w:rPr>
            </w:pPr>
          </w:p>
        </w:tc>
      </w:tr>
      <w:tr w:rsidR="00DE0EFA" w:rsidRPr="00112BF9" w14:paraId="76EE7EB3" w14:textId="77777777" w:rsidTr="008B3ECF">
        <w:tc>
          <w:tcPr>
            <w:tcW w:w="1838" w:type="dxa"/>
          </w:tcPr>
          <w:p w14:paraId="5180C01E" w14:textId="54AC12D7" w:rsidR="00DE0EFA" w:rsidRPr="00112BF9" w:rsidRDefault="00DE0EFA" w:rsidP="00DE0EFA">
            <w:pPr>
              <w:widowControl w:val="0"/>
              <w:suppressAutoHyphens w:val="0"/>
              <w:spacing w:after="160" w:line="259" w:lineRule="auto"/>
              <w:ind w:leftChars="0" w:left="0" w:right="-442" w:firstLineChars="0" w:hanging="2"/>
              <w:textDirection w:val="lrTb"/>
              <w:textAlignment w:val="auto"/>
              <w:outlineLvl w:val="9"/>
              <w:rPr>
                <w:rFonts w:ascii="Titillium" w:hAnsi="Titillium"/>
                <w:position w:val="0"/>
                <w:sz w:val="21"/>
                <w:szCs w:val="21"/>
                <w:lang w:val="en-US"/>
              </w:rPr>
            </w:pPr>
            <w:r w:rsidRPr="00112BF9">
              <w:rPr>
                <w:rFonts w:ascii="Titillium" w:hAnsi="Titillium"/>
                <w:sz w:val="21"/>
                <w:szCs w:val="21"/>
              </w:rPr>
              <w:t>Riunione di Avanzamento</w:t>
            </w:r>
          </w:p>
        </w:tc>
        <w:tc>
          <w:tcPr>
            <w:tcW w:w="2415" w:type="dxa"/>
          </w:tcPr>
          <w:p w14:paraId="53572FBD" w14:textId="1FADCB3E" w:rsidR="00DE0EFA" w:rsidRPr="00112BF9" w:rsidRDefault="00DE0EFA" w:rsidP="00DE0EFA">
            <w:pPr>
              <w:widowControl w:val="0"/>
              <w:suppressAutoHyphens w:val="0"/>
              <w:spacing w:after="160" w:line="259" w:lineRule="auto"/>
              <w:ind w:leftChars="0" w:left="0" w:right="-442" w:firstLineChars="0" w:hanging="2"/>
              <w:textDirection w:val="lrTb"/>
              <w:textAlignment w:val="auto"/>
              <w:outlineLvl w:val="9"/>
              <w:rPr>
                <w:rFonts w:ascii="Titillium" w:hAnsi="Titillium"/>
                <w:position w:val="0"/>
                <w:sz w:val="21"/>
                <w:szCs w:val="21"/>
                <w:lang w:val="en-US"/>
              </w:rPr>
            </w:pPr>
            <w:r w:rsidRPr="00112BF9">
              <w:rPr>
                <w:rFonts w:ascii="Titillium" w:hAnsi="Titillium"/>
                <w:sz w:val="21"/>
                <w:szCs w:val="21"/>
              </w:rPr>
              <w:t xml:space="preserve">T0 + 5 mesi </w:t>
            </w:r>
          </w:p>
        </w:tc>
        <w:tc>
          <w:tcPr>
            <w:tcW w:w="4673" w:type="dxa"/>
          </w:tcPr>
          <w:p w14:paraId="52CF54A1" w14:textId="58AFBF11" w:rsidR="00DE0EFA" w:rsidRPr="00112BF9" w:rsidRDefault="00DE0EFA" w:rsidP="00DE0EFA">
            <w:pPr>
              <w:widowControl w:val="0"/>
              <w:numPr>
                <w:ilvl w:val="0"/>
                <w:numId w:val="15"/>
              </w:numPr>
              <w:suppressAutoHyphens w:val="0"/>
              <w:spacing w:after="200" w:line="240" w:lineRule="auto"/>
              <w:ind w:leftChars="0" w:left="0" w:right="-442" w:firstLineChars="0" w:hanging="2"/>
              <w:contextualSpacing/>
              <w:textDirection w:val="lrTb"/>
              <w:textAlignment w:val="auto"/>
              <w:outlineLvl w:val="9"/>
              <w:rPr>
                <w:rFonts w:ascii="Titillium" w:hAnsi="Titillium"/>
                <w:position w:val="0"/>
                <w:sz w:val="21"/>
                <w:szCs w:val="21"/>
                <w:lang w:val="en-US"/>
              </w:rPr>
            </w:pPr>
            <w:r w:rsidRPr="00112BF9">
              <w:rPr>
                <w:rFonts w:ascii="Titillium" w:hAnsi="Titillium"/>
                <w:sz w:val="21"/>
                <w:szCs w:val="21"/>
              </w:rPr>
              <w:t>SDD Test Plan (DEL 16)</w:t>
            </w:r>
          </w:p>
        </w:tc>
      </w:tr>
      <w:tr w:rsidR="00DE0EFA" w:rsidRPr="00112BF9" w14:paraId="123119D2" w14:textId="77777777" w:rsidTr="008B3ECF">
        <w:tc>
          <w:tcPr>
            <w:tcW w:w="1838" w:type="dxa"/>
          </w:tcPr>
          <w:p w14:paraId="367F8D8B" w14:textId="6941E197" w:rsidR="00DE0EFA" w:rsidRPr="00112BF9" w:rsidRDefault="00DE0EFA" w:rsidP="00DE0EFA">
            <w:pPr>
              <w:widowControl w:val="0"/>
              <w:suppressAutoHyphens w:val="0"/>
              <w:spacing w:after="160" w:line="259" w:lineRule="auto"/>
              <w:ind w:leftChars="0" w:left="0" w:right="-442" w:firstLineChars="0" w:hanging="2"/>
              <w:textDirection w:val="lrTb"/>
              <w:textAlignment w:val="auto"/>
              <w:outlineLvl w:val="9"/>
              <w:rPr>
                <w:rFonts w:ascii="Titillium" w:hAnsi="Titillium"/>
                <w:position w:val="0"/>
                <w:sz w:val="21"/>
                <w:szCs w:val="21"/>
                <w:lang w:val="en-US"/>
              </w:rPr>
            </w:pPr>
          </w:p>
        </w:tc>
        <w:tc>
          <w:tcPr>
            <w:tcW w:w="2415" w:type="dxa"/>
          </w:tcPr>
          <w:p w14:paraId="5665D25B" w14:textId="1F7845B5" w:rsidR="00DE0EFA" w:rsidRPr="00112BF9" w:rsidRDefault="00DE0EFA" w:rsidP="00DE0EFA">
            <w:pPr>
              <w:widowControl w:val="0"/>
              <w:suppressAutoHyphens w:val="0"/>
              <w:spacing w:after="160" w:line="259" w:lineRule="auto"/>
              <w:ind w:leftChars="0" w:left="0" w:right="-442" w:firstLineChars="0" w:hanging="2"/>
              <w:textDirection w:val="lrTb"/>
              <w:textAlignment w:val="auto"/>
              <w:outlineLvl w:val="9"/>
              <w:rPr>
                <w:rFonts w:ascii="Titillium" w:hAnsi="Titillium"/>
                <w:position w:val="0"/>
                <w:sz w:val="21"/>
                <w:szCs w:val="21"/>
                <w:lang w:val="en-US"/>
              </w:rPr>
            </w:pPr>
          </w:p>
        </w:tc>
        <w:tc>
          <w:tcPr>
            <w:tcW w:w="4673" w:type="dxa"/>
          </w:tcPr>
          <w:p w14:paraId="0F6E3698" w14:textId="64170126" w:rsidR="00DE0EFA" w:rsidRPr="00112BF9" w:rsidRDefault="00DE0EFA" w:rsidP="00DE0EFA">
            <w:pPr>
              <w:widowControl w:val="0"/>
              <w:numPr>
                <w:ilvl w:val="0"/>
                <w:numId w:val="14"/>
              </w:numPr>
              <w:suppressAutoHyphens w:val="0"/>
              <w:spacing w:after="200" w:line="240" w:lineRule="auto"/>
              <w:ind w:leftChars="0" w:left="0" w:right="-442" w:firstLineChars="0" w:hanging="2"/>
              <w:contextualSpacing/>
              <w:textDirection w:val="lrTb"/>
              <w:textAlignment w:val="auto"/>
              <w:outlineLvl w:val="9"/>
              <w:rPr>
                <w:rFonts w:ascii="Titillium" w:hAnsi="Titillium"/>
                <w:position w:val="0"/>
                <w:sz w:val="21"/>
                <w:szCs w:val="21"/>
                <w:lang w:val="en-US"/>
              </w:rPr>
            </w:pPr>
          </w:p>
        </w:tc>
      </w:tr>
      <w:tr w:rsidR="00DE0EFA" w:rsidRPr="00112BF9" w14:paraId="3E05C004" w14:textId="77777777" w:rsidTr="008B3ECF">
        <w:tc>
          <w:tcPr>
            <w:tcW w:w="1838" w:type="dxa"/>
          </w:tcPr>
          <w:p w14:paraId="00B85466" w14:textId="077DF7FF" w:rsidR="00DE0EFA" w:rsidRPr="00112BF9" w:rsidRDefault="00DE0EFA" w:rsidP="00DE0EFA">
            <w:pPr>
              <w:widowControl w:val="0"/>
              <w:suppressAutoHyphens w:val="0"/>
              <w:spacing w:after="160" w:line="259" w:lineRule="auto"/>
              <w:ind w:leftChars="0" w:left="0" w:right="-442" w:firstLineChars="0" w:hanging="2"/>
              <w:textDirection w:val="lrTb"/>
              <w:textAlignment w:val="auto"/>
              <w:outlineLvl w:val="9"/>
              <w:rPr>
                <w:rFonts w:ascii="Titillium" w:hAnsi="Titillium"/>
                <w:position w:val="0"/>
                <w:sz w:val="21"/>
                <w:szCs w:val="21"/>
                <w:lang w:val="en-US"/>
              </w:rPr>
            </w:pPr>
            <w:r w:rsidRPr="00112BF9">
              <w:rPr>
                <w:rFonts w:ascii="Titillium" w:hAnsi="Titillium"/>
                <w:sz w:val="21"/>
                <w:szCs w:val="21"/>
              </w:rPr>
              <w:t>Riunione Finale</w:t>
            </w:r>
          </w:p>
        </w:tc>
        <w:tc>
          <w:tcPr>
            <w:tcW w:w="2415" w:type="dxa"/>
          </w:tcPr>
          <w:p w14:paraId="3A8A8EFE" w14:textId="383D1C4D" w:rsidR="00DE0EFA" w:rsidRPr="00112BF9" w:rsidRDefault="00DE0EFA" w:rsidP="00DE0EFA">
            <w:pPr>
              <w:widowControl w:val="0"/>
              <w:suppressAutoHyphens w:val="0"/>
              <w:spacing w:after="160" w:line="259" w:lineRule="auto"/>
              <w:ind w:leftChars="0" w:left="0" w:right="-442" w:firstLineChars="0" w:hanging="2"/>
              <w:textDirection w:val="lrTb"/>
              <w:textAlignment w:val="auto"/>
              <w:outlineLvl w:val="9"/>
              <w:rPr>
                <w:rFonts w:ascii="Titillium" w:hAnsi="Titillium"/>
                <w:position w:val="0"/>
                <w:sz w:val="21"/>
                <w:szCs w:val="21"/>
                <w:lang w:val="en-US"/>
              </w:rPr>
            </w:pPr>
            <w:r w:rsidRPr="00112BF9">
              <w:rPr>
                <w:rFonts w:ascii="Titillium" w:hAnsi="Titillium"/>
                <w:sz w:val="21"/>
                <w:szCs w:val="21"/>
              </w:rPr>
              <w:t xml:space="preserve">T0 + 10 mesi </w:t>
            </w:r>
          </w:p>
        </w:tc>
        <w:tc>
          <w:tcPr>
            <w:tcW w:w="4673" w:type="dxa"/>
          </w:tcPr>
          <w:p w14:paraId="709C7A1E" w14:textId="1B737584" w:rsidR="00DE0EFA" w:rsidRPr="00112BF9" w:rsidRDefault="00DE0EFA" w:rsidP="00DE0EFA">
            <w:pPr>
              <w:widowControl w:val="0"/>
              <w:suppressAutoHyphens w:val="0"/>
              <w:spacing w:after="160" w:line="259" w:lineRule="auto"/>
              <w:ind w:leftChars="0" w:left="0" w:right="-442" w:firstLineChars="0" w:hanging="2"/>
              <w:textDirection w:val="lrTb"/>
              <w:textAlignment w:val="auto"/>
              <w:outlineLvl w:val="9"/>
              <w:rPr>
                <w:rFonts w:ascii="Titillium" w:hAnsi="Titillium"/>
                <w:position w:val="0"/>
                <w:sz w:val="21"/>
                <w:szCs w:val="21"/>
                <w:lang w:val="en-US"/>
              </w:rPr>
            </w:pPr>
            <w:r w:rsidRPr="00112BF9">
              <w:rPr>
                <w:rFonts w:ascii="Titillium" w:hAnsi="Titillium"/>
                <w:sz w:val="21"/>
                <w:szCs w:val="21"/>
              </w:rPr>
              <w:t>15 sensori tipo SDD (DEL 1 – 15)</w:t>
            </w:r>
          </w:p>
        </w:tc>
      </w:tr>
    </w:tbl>
    <w:p w14:paraId="5EC67C59" w14:textId="77777777" w:rsidR="00A94DA9" w:rsidRPr="00112BF9" w:rsidRDefault="00A94DA9">
      <w:pPr>
        <w:keepNext/>
        <w:widowControl w:val="0"/>
        <w:pBdr>
          <w:top w:val="nil"/>
          <w:left w:val="nil"/>
          <w:bottom w:val="nil"/>
          <w:right w:val="nil"/>
          <w:between w:val="nil"/>
        </w:pBdr>
        <w:tabs>
          <w:tab w:val="left" w:pos="142"/>
          <w:tab w:val="left" w:pos="284"/>
        </w:tabs>
        <w:spacing w:line="240" w:lineRule="auto"/>
        <w:ind w:left="0" w:right="-1220" w:hanging="2"/>
        <w:jc w:val="both"/>
        <w:rPr>
          <w:rFonts w:ascii="Titillium" w:eastAsia="Arial" w:hAnsi="Titillium" w:cs="Arial"/>
          <w:color w:val="000000"/>
          <w:sz w:val="21"/>
          <w:szCs w:val="21"/>
          <w:highlight w:val="white"/>
        </w:rPr>
      </w:pPr>
    </w:p>
    <w:p w14:paraId="597C0AC1" w14:textId="77777777" w:rsidR="00D462FB" w:rsidRPr="00112BF9" w:rsidRDefault="00D462FB" w:rsidP="008B3ECF">
      <w:pPr>
        <w:keepNext/>
        <w:widowControl w:val="0"/>
        <w:pBdr>
          <w:top w:val="nil"/>
          <w:left w:val="nil"/>
          <w:bottom w:val="nil"/>
          <w:right w:val="nil"/>
          <w:between w:val="nil"/>
        </w:pBdr>
        <w:tabs>
          <w:tab w:val="left" w:pos="142"/>
          <w:tab w:val="left" w:pos="284"/>
        </w:tabs>
        <w:spacing w:line="240" w:lineRule="auto"/>
        <w:ind w:leftChars="0" w:left="0" w:right="-1220" w:firstLineChars="0" w:firstLine="0"/>
        <w:jc w:val="both"/>
        <w:rPr>
          <w:rFonts w:ascii="Titillium" w:eastAsia="Arial" w:hAnsi="Titillium" w:cs="Arial"/>
          <w:color w:val="C00000"/>
          <w:sz w:val="21"/>
          <w:szCs w:val="21"/>
          <w:highlight w:val="white"/>
        </w:rPr>
      </w:pPr>
    </w:p>
    <w:p w14:paraId="06B57DAF" w14:textId="77777777" w:rsidR="00D462FB" w:rsidRPr="00112BF9" w:rsidRDefault="008B3ECF">
      <w:pPr>
        <w:keepNext/>
        <w:widowControl w:val="0"/>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b/>
          <w:color w:val="000000"/>
          <w:sz w:val="21"/>
          <w:szCs w:val="21"/>
          <w:highlight w:val="white"/>
        </w:rPr>
        <w:tab/>
      </w:r>
      <w:r w:rsidRPr="00112BF9">
        <w:rPr>
          <w:rFonts w:ascii="Titillium" w:eastAsia="Arial" w:hAnsi="Titillium" w:cs="Arial"/>
          <w:b/>
          <w:color w:val="000000"/>
          <w:sz w:val="21"/>
          <w:szCs w:val="21"/>
          <w:highlight w:val="white"/>
        </w:rPr>
        <w:tab/>
      </w:r>
      <w:r w:rsidRPr="00112BF9">
        <w:rPr>
          <w:rFonts w:ascii="Titillium" w:eastAsia="Arial" w:hAnsi="Titillium" w:cs="Arial"/>
          <w:b/>
          <w:color w:val="000000"/>
          <w:sz w:val="21"/>
          <w:szCs w:val="21"/>
          <w:highlight w:val="white"/>
        </w:rPr>
        <w:tab/>
      </w:r>
      <w:r w:rsidRPr="00112BF9">
        <w:rPr>
          <w:rFonts w:ascii="Titillium" w:eastAsia="Arial" w:hAnsi="Titillium" w:cs="Arial"/>
          <w:b/>
          <w:color w:val="000000"/>
          <w:sz w:val="21"/>
          <w:szCs w:val="21"/>
          <w:highlight w:val="white"/>
        </w:rPr>
        <w:tab/>
      </w:r>
      <w:r w:rsidRPr="00112BF9">
        <w:rPr>
          <w:rFonts w:ascii="Titillium" w:eastAsia="Arial" w:hAnsi="Titillium" w:cs="Arial"/>
          <w:b/>
          <w:color w:val="000000"/>
          <w:sz w:val="21"/>
          <w:szCs w:val="21"/>
          <w:highlight w:val="white"/>
        </w:rPr>
        <w:tab/>
        <w:t xml:space="preserve">Art.  </w:t>
      </w:r>
      <w:r w:rsidRPr="00112BF9">
        <w:rPr>
          <w:rFonts w:ascii="Titillium" w:eastAsia="Arial" w:hAnsi="Titillium" w:cs="Arial"/>
          <w:b/>
          <w:color w:val="000000"/>
          <w:sz w:val="21"/>
          <w:szCs w:val="21"/>
          <w:highlight w:val="white"/>
          <w:u w:val="single"/>
        </w:rPr>
        <w:t>Corrispettivo</w:t>
      </w:r>
      <w:r w:rsidRPr="00112BF9">
        <w:rPr>
          <w:rFonts w:ascii="Titillium" w:eastAsia="Arial" w:hAnsi="Titillium" w:cs="Arial"/>
          <w:color w:val="000000"/>
          <w:sz w:val="21"/>
          <w:szCs w:val="21"/>
          <w:highlight w:val="white"/>
        </w:rPr>
        <w:t xml:space="preserve"> – </w:t>
      </w:r>
    </w:p>
    <w:p w14:paraId="7BA367CE" w14:textId="60461E75" w:rsidR="00D462FB" w:rsidRPr="00112BF9" w:rsidRDefault="008B3ECF">
      <w:pPr>
        <w:keepNext/>
        <w:widowControl w:val="0"/>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rPr>
        <w:t>Lo Istituto di Astrofisica e Planetologia Spaziali - INAF</w:t>
      </w:r>
      <w:r w:rsidRPr="00112BF9">
        <w:rPr>
          <w:rFonts w:ascii="Titillium" w:eastAsia="Arial" w:hAnsi="Titillium" w:cs="Arial"/>
          <w:color w:val="000000"/>
          <w:sz w:val="21"/>
          <w:szCs w:val="21"/>
          <w:highlight w:val="white"/>
        </w:rPr>
        <w:t xml:space="preserve"> corrisponderà all’IMPRESA l'importo di € ………… (Euro ……………./..=). L’IVA, pari al 22% (ventidue per cento) sarà versata secondo quanto previsto in materia di split payment dall’art. 17 ter del d.P.R. numero 633/1972 e successive modifiche ed integrazioni. Il costo complessivo a carico dello </w:t>
      </w:r>
      <w:r w:rsidRPr="00112BF9">
        <w:rPr>
          <w:rFonts w:ascii="Titillium" w:eastAsia="Arial" w:hAnsi="Titillium" w:cs="Arial"/>
          <w:b/>
          <w:color w:val="000000"/>
          <w:sz w:val="21"/>
          <w:szCs w:val="21"/>
          <w:highlight w:val="white"/>
        </w:rPr>
        <w:t>Istituto di Astrofisica e Planetologia Spaziali - INAF</w:t>
      </w:r>
      <w:r w:rsidRPr="00112BF9">
        <w:rPr>
          <w:rFonts w:ascii="Titillium" w:eastAsia="Arial" w:hAnsi="Titillium" w:cs="Arial"/>
          <w:color w:val="000000"/>
          <w:sz w:val="21"/>
          <w:szCs w:val="21"/>
          <w:highlight w:val="white"/>
        </w:rPr>
        <w:t xml:space="preserve"> è quindi pari a € …………. (Euro ………………/…=). Il corrispettivo si intende comprensivo di ogni onere, obbligo e utile e comunque idoneo alla regolare esecuzione dell’appalto oggetto del presente Contratto.</w:t>
      </w:r>
    </w:p>
    <w:p w14:paraId="46D243BF" w14:textId="77777777" w:rsidR="00D462FB" w:rsidRPr="00112BF9" w:rsidRDefault="00D462FB">
      <w:pPr>
        <w:keepNext/>
        <w:widowControl w:val="0"/>
        <w:pBdr>
          <w:top w:val="nil"/>
          <w:left w:val="nil"/>
          <w:bottom w:val="nil"/>
          <w:right w:val="nil"/>
          <w:between w:val="nil"/>
        </w:pBdr>
        <w:tabs>
          <w:tab w:val="left" w:pos="284"/>
        </w:tabs>
        <w:spacing w:line="240" w:lineRule="auto"/>
        <w:ind w:left="0" w:right="-1220" w:hanging="2"/>
        <w:jc w:val="both"/>
        <w:rPr>
          <w:rFonts w:ascii="Titillium" w:eastAsia="Arial" w:hAnsi="Titillium" w:cs="Arial"/>
          <w:sz w:val="21"/>
          <w:szCs w:val="21"/>
          <w:highlight w:val="white"/>
        </w:rPr>
      </w:pPr>
    </w:p>
    <w:p w14:paraId="0B7DBE3F" w14:textId="77777777" w:rsidR="00D462FB" w:rsidRPr="00112BF9" w:rsidRDefault="008B3ECF">
      <w:pPr>
        <w:widowControl w:val="0"/>
        <w:pBdr>
          <w:top w:val="nil"/>
          <w:left w:val="nil"/>
          <w:bottom w:val="nil"/>
          <w:right w:val="nil"/>
          <w:between w:val="nil"/>
        </w:pBdr>
        <w:tabs>
          <w:tab w:val="left" w:pos="284"/>
        </w:tabs>
        <w:spacing w:line="240" w:lineRule="auto"/>
        <w:ind w:left="0" w:right="-1220" w:hanging="2"/>
        <w:jc w:val="center"/>
        <w:rPr>
          <w:rFonts w:ascii="Titillium" w:eastAsia="Arial" w:hAnsi="Titillium" w:cs="Arial"/>
          <w:color w:val="000000"/>
          <w:sz w:val="21"/>
          <w:szCs w:val="21"/>
          <w:highlight w:val="white"/>
        </w:rPr>
      </w:pPr>
      <w:r w:rsidRPr="00112BF9">
        <w:rPr>
          <w:rFonts w:ascii="Titillium" w:eastAsia="Arial" w:hAnsi="Titillium" w:cs="Arial"/>
          <w:b/>
          <w:color w:val="000000"/>
          <w:sz w:val="21"/>
          <w:szCs w:val="21"/>
          <w:highlight w:val="white"/>
          <w:u w:val="single"/>
        </w:rPr>
        <w:t>Art. Revisione prezzi</w:t>
      </w:r>
    </w:p>
    <w:p w14:paraId="71F831C7" w14:textId="7EA8BD8E" w:rsidR="00D462FB" w:rsidRPr="00112BF9" w:rsidRDefault="008B3ECF">
      <w:pPr>
        <w:widowControl w:val="0"/>
        <w:pBdr>
          <w:top w:val="nil"/>
          <w:left w:val="nil"/>
          <w:bottom w:val="nil"/>
          <w:right w:val="nil"/>
          <w:between w:val="nil"/>
        </w:pBdr>
        <w:tabs>
          <w:tab w:val="left" w:pos="284"/>
        </w:tabs>
        <w:spacing w:line="240" w:lineRule="auto"/>
        <w:ind w:left="0" w:right="-1220" w:hanging="2"/>
        <w:jc w:val="both"/>
        <w:rPr>
          <w:rFonts w:ascii="Titillium" w:eastAsia="Arial" w:hAnsi="Titillium" w:cs="Arial"/>
          <w:b/>
          <w:color w:val="000000"/>
          <w:sz w:val="21"/>
          <w:szCs w:val="21"/>
          <w:highlight w:val="white"/>
        </w:rPr>
      </w:pPr>
      <w:r w:rsidRPr="00112BF9">
        <w:rPr>
          <w:rFonts w:ascii="Titillium" w:eastAsia="Arial" w:hAnsi="Titillium" w:cs="Arial"/>
          <w:color w:val="000000"/>
          <w:sz w:val="21"/>
          <w:szCs w:val="21"/>
          <w:highlight w:val="white"/>
        </w:rPr>
        <w:t>A partire dalla seconda annualità contrattuale i prezzi sono aggiornati, in aumento o in diminuzione sulla base dei prezzi standard rilevati dall’ANAC, degli elenchi dei prezzi rilevati dall’ISTAT, oppure, qualora i dati suindicati non siano disponibili, in misura non superiore alla differenza tra l’indice Istat dei prezzi al consumo per le famiglie di operai e impiegati, al netto dei tabacchi (c.d. FOI) disponibile al momento del pagamento del corrispettivo e quello corrispondente al mese/anno di sottoscrizione del contratto. La revisione dei prezzi è riconosciuta se le variazioni accertate risultano superiori al 10%</w:t>
      </w:r>
      <w:r w:rsidRPr="00112BF9">
        <w:rPr>
          <w:rFonts w:ascii="Titillium" w:eastAsia="Arial" w:hAnsi="Titillium" w:cs="Arial"/>
          <w:b/>
          <w:color w:val="C00000"/>
          <w:sz w:val="21"/>
          <w:szCs w:val="21"/>
          <w:highlight w:val="white"/>
        </w:rPr>
        <w:t>.</w:t>
      </w:r>
      <w:r w:rsidRPr="00112BF9">
        <w:rPr>
          <w:rFonts w:ascii="Titillium" w:eastAsia="Arial" w:hAnsi="Titillium" w:cs="Arial"/>
          <w:color w:val="C00000"/>
          <w:sz w:val="21"/>
          <w:szCs w:val="21"/>
          <w:highlight w:val="white"/>
        </w:rPr>
        <w:t xml:space="preserve"> </w:t>
      </w:r>
      <w:r w:rsidRPr="00112BF9">
        <w:rPr>
          <w:rFonts w:ascii="Titillium" w:eastAsia="Arial" w:hAnsi="Titillium" w:cs="Arial"/>
          <w:color w:val="000000"/>
          <w:sz w:val="21"/>
          <w:szCs w:val="21"/>
          <w:highlight w:val="white"/>
        </w:rPr>
        <w:t>La revisione dei prezzi può essere richiesta una sola volta per ciascuna annualità a partire dal secondo anno.</w:t>
      </w:r>
      <w:r w:rsidRPr="00112BF9">
        <w:rPr>
          <w:rFonts w:ascii="Titillium" w:eastAsia="Arial" w:hAnsi="Titillium" w:cs="Arial"/>
          <w:b/>
          <w:color w:val="000000"/>
          <w:sz w:val="21"/>
          <w:szCs w:val="21"/>
          <w:highlight w:val="white"/>
        </w:rPr>
        <w:t xml:space="preserve"> </w:t>
      </w:r>
    </w:p>
    <w:p w14:paraId="599A96A7" w14:textId="77777777" w:rsidR="00D462FB" w:rsidRPr="00112BF9" w:rsidRDefault="00D462FB">
      <w:pPr>
        <w:widowControl w:val="0"/>
        <w:pBdr>
          <w:top w:val="nil"/>
          <w:left w:val="nil"/>
          <w:bottom w:val="nil"/>
          <w:right w:val="nil"/>
          <w:between w:val="nil"/>
        </w:pBdr>
        <w:tabs>
          <w:tab w:val="left" w:pos="284"/>
        </w:tabs>
        <w:spacing w:line="240" w:lineRule="auto"/>
        <w:ind w:left="0" w:right="-1220" w:hanging="2"/>
        <w:jc w:val="both"/>
        <w:rPr>
          <w:rFonts w:ascii="Titillium" w:eastAsia="Arial" w:hAnsi="Titillium" w:cs="Arial"/>
          <w:b/>
          <w:sz w:val="21"/>
          <w:szCs w:val="21"/>
          <w:highlight w:val="white"/>
        </w:rPr>
      </w:pPr>
    </w:p>
    <w:p w14:paraId="1A926C26" w14:textId="77777777" w:rsidR="00D462FB" w:rsidRPr="00112BF9" w:rsidRDefault="008B3ECF">
      <w:pPr>
        <w:widowControl w:val="0"/>
        <w:pBdr>
          <w:top w:val="nil"/>
          <w:left w:val="nil"/>
          <w:bottom w:val="nil"/>
          <w:right w:val="nil"/>
          <w:between w:val="nil"/>
        </w:pBdr>
        <w:tabs>
          <w:tab w:val="left" w:pos="284"/>
        </w:tabs>
        <w:spacing w:line="240" w:lineRule="auto"/>
        <w:ind w:left="0" w:right="-1220" w:hanging="2"/>
        <w:jc w:val="center"/>
        <w:rPr>
          <w:rFonts w:ascii="Titillium" w:eastAsia="Arial" w:hAnsi="Titillium" w:cs="Arial"/>
          <w:sz w:val="21"/>
          <w:szCs w:val="21"/>
          <w:highlight w:val="white"/>
        </w:rPr>
      </w:pPr>
      <w:r w:rsidRPr="00112BF9">
        <w:rPr>
          <w:rFonts w:ascii="Titillium" w:eastAsia="Arial" w:hAnsi="Titillium" w:cs="Arial"/>
          <w:sz w:val="21"/>
          <w:szCs w:val="21"/>
          <w:highlight w:val="white"/>
        </w:rPr>
        <w:t>Art.  Modifica del contratto</w:t>
      </w:r>
    </w:p>
    <w:p w14:paraId="7E4B9B5C" w14:textId="77777777" w:rsidR="00D462FB" w:rsidRPr="00112BF9" w:rsidRDefault="008B3ECF">
      <w:pPr>
        <w:widowControl w:val="0"/>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sz w:val="21"/>
          <w:szCs w:val="21"/>
          <w:highlight w:val="white"/>
        </w:rPr>
        <w:t xml:space="preserve"> L’___________________, ai sensi dell’art.120 del Codice dei Contratto, si riserva la facoltà di esercitare tutte le modifiche al presente contratto in corso di esecuzione, limitatamente alle condizione e al tempo previsto dalle disposizioni suddette</w:t>
      </w:r>
    </w:p>
    <w:p w14:paraId="3594030C" w14:textId="77777777" w:rsidR="00D462FB" w:rsidRPr="00112BF9" w:rsidRDefault="00D462FB">
      <w:pPr>
        <w:keepNext/>
        <w:widowControl w:val="0"/>
        <w:pBdr>
          <w:top w:val="nil"/>
          <w:left w:val="nil"/>
          <w:bottom w:val="nil"/>
          <w:right w:val="nil"/>
          <w:between w:val="nil"/>
        </w:pBdr>
        <w:tabs>
          <w:tab w:val="left" w:pos="284"/>
        </w:tabs>
        <w:spacing w:line="240" w:lineRule="auto"/>
        <w:ind w:left="0" w:right="-1220" w:hanging="2"/>
        <w:jc w:val="both"/>
        <w:rPr>
          <w:rFonts w:ascii="Titillium" w:eastAsia="Arial" w:hAnsi="Titillium" w:cs="Arial"/>
          <w:sz w:val="21"/>
          <w:szCs w:val="21"/>
          <w:highlight w:val="white"/>
        </w:rPr>
      </w:pPr>
    </w:p>
    <w:p w14:paraId="0A45A91F" w14:textId="77777777" w:rsidR="00D462FB" w:rsidRPr="00112BF9" w:rsidRDefault="008B3ECF">
      <w:pPr>
        <w:keepNext/>
        <w:widowControl w:val="0"/>
        <w:pBdr>
          <w:top w:val="nil"/>
          <w:left w:val="nil"/>
          <w:bottom w:val="nil"/>
          <w:right w:val="nil"/>
          <w:between w:val="nil"/>
        </w:pBdr>
        <w:tabs>
          <w:tab w:val="left" w:pos="284"/>
        </w:tabs>
        <w:spacing w:line="240" w:lineRule="auto"/>
        <w:ind w:left="0" w:right="-1220" w:hanging="2"/>
        <w:jc w:val="center"/>
        <w:rPr>
          <w:rFonts w:ascii="Titillium" w:eastAsia="Arial" w:hAnsi="Titillium" w:cs="Arial"/>
          <w:b/>
          <w:color w:val="000000"/>
          <w:sz w:val="21"/>
          <w:szCs w:val="21"/>
          <w:highlight w:val="whit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Obblighi a carico dell’IMPRESA</w:t>
      </w:r>
      <w:r w:rsidRPr="00112BF9">
        <w:rPr>
          <w:rFonts w:ascii="Titillium" w:eastAsia="Arial" w:hAnsi="Titillium" w:cs="Arial"/>
          <w:b/>
          <w:color w:val="000000"/>
          <w:sz w:val="21"/>
          <w:szCs w:val="21"/>
          <w:highlight w:val="white"/>
        </w:rPr>
        <w:t xml:space="preserve"> </w:t>
      </w:r>
    </w:p>
    <w:p w14:paraId="2D75C1DC" w14:textId="77777777" w:rsidR="00D462FB" w:rsidRPr="00112BF9" w:rsidRDefault="008B3ECF">
      <w:pPr>
        <w:keepNext/>
        <w:widowControl w:val="0"/>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L’impresa si obbliga:</w:t>
      </w:r>
    </w:p>
    <w:p w14:paraId="199AE639" w14:textId="77777777" w:rsidR="00D462FB" w:rsidRPr="00112BF9" w:rsidRDefault="008B3ECF">
      <w:pPr>
        <w:keepNext/>
        <w:widowControl w:val="0"/>
        <w:numPr>
          <w:ilvl w:val="0"/>
          <w:numId w:val="9"/>
        </w:numPr>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eseguire le forniture ed i servizi oggetto del Contratto, dettagliatamente descritti nel Capitolato Tecnico e impiegando tutte le strutture ed il personale necessario per la loro realizzazione secondo quanto stabilito nel Contratto e negli atti relativi al presente affidamento;</w:t>
      </w:r>
    </w:p>
    <w:p w14:paraId="667ECF41" w14:textId="77777777" w:rsidR="00D462FB" w:rsidRPr="00112BF9" w:rsidRDefault="008B3ECF">
      <w:pPr>
        <w:keepNext/>
        <w:widowControl w:val="0"/>
        <w:numPr>
          <w:ilvl w:val="0"/>
          <w:numId w:val="9"/>
        </w:numPr>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eseguire tutte le attività di cui al capitolato tecnico secondo le modalità e le tempistiche ivi riportate;</w:t>
      </w:r>
    </w:p>
    <w:p w14:paraId="29E1D372" w14:textId="77777777" w:rsidR="00D462FB" w:rsidRPr="00112BF9" w:rsidRDefault="008B3ECF">
      <w:pPr>
        <w:keepNext/>
        <w:widowControl w:val="0"/>
        <w:numPr>
          <w:ilvl w:val="0"/>
          <w:numId w:val="9"/>
        </w:numPr>
        <w:pBdr>
          <w:top w:val="nil"/>
          <w:left w:val="nil"/>
          <w:bottom w:val="nil"/>
          <w:right w:val="nil"/>
          <w:between w:val="nil"/>
        </w:pBdr>
        <w:tabs>
          <w:tab w:val="left" w:pos="284"/>
        </w:tabs>
        <w:spacing w:line="240" w:lineRule="auto"/>
        <w:ind w:left="0" w:right="-1220" w:hanging="2"/>
        <w:jc w:val="both"/>
        <w:rPr>
          <w:rFonts w:ascii="Titillium" w:hAnsi="Titillium"/>
          <w:color w:val="000000"/>
          <w:sz w:val="21"/>
          <w:szCs w:val="21"/>
          <w:highlight w:val="white"/>
        </w:rPr>
      </w:pPr>
      <w:r w:rsidRPr="00112BF9">
        <w:rPr>
          <w:rFonts w:ascii="Titillium" w:eastAsia="Arial" w:hAnsi="Titillium" w:cs="Arial"/>
          <w:color w:val="000000"/>
          <w:sz w:val="21"/>
          <w:szCs w:val="21"/>
          <w:highlight w:val="white"/>
        </w:rPr>
        <w:t>adottare strumenti di contabilità e rendicontazione coerenti con la normativa vigente in materia di Piano Nazionale di Ripresa e Resilienza</w:t>
      </w:r>
      <w:r w:rsidRPr="00112BF9">
        <w:rPr>
          <w:rFonts w:ascii="Titillium" w:eastAsia="Arial" w:hAnsi="Titillium" w:cs="Arial"/>
          <w:b/>
          <w:color w:val="000000"/>
          <w:sz w:val="21"/>
          <w:szCs w:val="21"/>
          <w:highlight w:val="white"/>
        </w:rPr>
        <w:t xml:space="preserve"> </w:t>
      </w:r>
      <w:r w:rsidRPr="00112BF9">
        <w:rPr>
          <w:rFonts w:ascii="Titillium" w:eastAsia="Arial" w:hAnsi="Titillium" w:cs="Arial"/>
          <w:color w:val="000000"/>
          <w:sz w:val="21"/>
          <w:szCs w:val="21"/>
          <w:highlight w:val="white"/>
        </w:rPr>
        <w:t>per consentire all’amministrazione la verifica degli adempimenti di legge;</w:t>
      </w:r>
    </w:p>
    <w:p w14:paraId="5779864B" w14:textId="77777777" w:rsidR="00D462FB" w:rsidRPr="00112BF9" w:rsidRDefault="008B3ECF">
      <w:pPr>
        <w:keepNext/>
        <w:widowControl w:val="0"/>
        <w:numPr>
          <w:ilvl w:val="0"/>
          <w:numId w:val="9"/>
        </w:numPr>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predisporre tutti gli strumenti e le metodologie, comprensivi della relativa documentazione, atti a garantire elevati livelli di servizio, ivi compresi quelli relativi alla sicurezza e riservatezza, nonché atti a consentire a INAF di monitorare la conformità della prestazione alle norme previste nel Contratto;</w:t>
      </w:r>
    </w:p>
    <w:p w14:paraId="6C21C8D4" w14:textId="77777777" w:rsidR="00D462FB" w:rsidRPr="00112BF9" w:rsidRDefault="008B3ECF">
      <w:pPr>
        <w:keepNext/>
        <w:widowControl w:val="0"/>
        <w:numPr>
          <w:ilvl w:val="0"/>
          <w:numId w:val="9"/>
        </w:numPr>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manlevare e tenere indenne INAF per quanto di rispettiva competenza, dalle pretese che i terzi dovessero avanzare in relazione ai danni derivanti da servizi resi in modalità diverse rispetto a quanto previsto nel presente Contratto, ovvero in relazione a diritti di privativa vantati da terzi;</w:t>
      </w:r>
    </w:p>
    <w:p w14:paraId="67226832" w14:textId="77777777" w:rsidR="00D462FB" w:rsidRPr="00112BF9" w:rsidRDefault="008B3ECF">
      <w:pPr>
        <w:keepNext/>
        <w:widowControl w:val="0"/>
        <w:numPr>
          <w:ilvl w:val="0"/>
          <w:numId w:val="9"/>
        </w:numPr>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per il personale impiegato a qualsiasi titolo nel presente appalto, ad ottemperare nei confronti dei propri dipendenti e collaboratori, a tutti gli obblighi derivanti dalle vigenti disposizioni legislative, regolamentari e di CCNL di categoria, in materia di retribuzione, previdenza, assistenza e assicurazione con esclusione di qualsiasi responsabilità da parte dell’INAF </w:t>
      </w:r>
    </w:p>
    <w:p w14:paraId="2E0437AF" w14:textId="77777777" w:rsidR="00D462FB" w:rsidRPr="00112BF9" w:rsidRDefault="008B3ECF">
      <w:pPr>
        <w:keepNext/>
        <w:widowControl w:val="0"/>
        <w:numPr>
          <w:ilvl w:val="0"/>
          <w:numId w:val="9"/>
        </w:numPr>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all’osservanza delle norme e delle disposizioni legislative in materia di prevenzione dagli infortuni e di igiene sul lavoro, impartendo ai propri dipendenti e collaboratori precise istruzioni </w:t>
      </w:r>
      <w:r w:rsidRPr="00112BF9">
        <w:rPr>
          <w:rFonts w:ascii="Titillium" w:eastAsia="Arial" w:hAnsi="Titillium" w:cs="Arial"/>
          <w:color w:val="000000"/>
          <w:sz w:val="21"/>
          <w:szCs w:val="21"/>
          <w:highlight w:val="white"/>
        </w:rPr>
        <w:lastRenderedPageBreak/>
        <w:t xml:space="preserve">sui rischi specifici esistenti nell’ambiente di lavoro in cui sono chiamati a prestare la loro attività. In particolare, l'IMPRESA si impegna a rispettare, nell'esecuzione delle obbligazioni contrattuali, le disposizioni di cui al D.lgs. numero 81/2008 e successive modifiche ed integrazioni. </w:t>
      </w:r>
    </w:p>
    <w:p w14:paraId="72D8EF2A" w14:textId="77777777" w:rsidR="00D462FB" w:rsidRPr="00112BF9" w:rsidRDefault="008B3ECF">
      <w:pPr>
        <w:keepNext/>
        <w:widowControl w:val="0"/>
        <w:numPr>
          <w:ilvl w:val="0"/>
          <w:numId w:val="9"/>
        </w:numPr>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a far osservare, per quanto compatibile, ai propri dipendenti e collaboratori il Codice di comportamento in materia di anticorruzione del personale INAF, pubblicato nella sezione “Amministrazione trasparente” del sito istituzionale dell’INAF. L’IMPRESA dichiara di aver preso visione e di essere a conoscenza del contenuto del predetto Codice; nelle ipotesi di grave violazione delle </w:t>
      </w:r>
      <w:r w:rsidRPr="00112BF9">
        <w:rPr>
          <w:rFonts w:ascii="Titillium" w:eastAsia="Arial" w:hAnsi="Titillium" w:cs="Arial"/>
          <w:sz w:val="21"/>
          <w:szCs w:val="21"/>
          <w:highlight w:val="white"/>
        </w:rPr>
        <w:t>disposizioni</w:t>
      </w:r>
      <w:r w:rsidRPr="00112BF9">
        <w:rPr>
          <w:rFonts w:ascii="Titillium" w:eastAsia="Arial" w:hAnsi="Titillium" w:cs="Arial"/>
          <w:color w:val="000000"/>
          <w:sz w:val="21"/>
          <w:szCs w:val="21"/>
          <w:highlight w:val="white"/>
        </w:rPr>
        <w:t xml:space="preserve"> ivi contenute, la stazione appaltante si riserva la facoltà di risolvere il contratto.</w:t>
      </w:r>
    </w:p>
    <w:p w14:paraId="075C201D" w14:textId="77777777" w:rsidR="00D462FB" w:rsidRPr="00112BF9" w:rsidRDefault="008B3ECF">
      <w:pPr>
        <w:keepNext/>
        <w:widowControl w:val="0"/>
        <w:numPr>
          <w:ilvl w:val="0"/>
          <w:numId w:val="9"/>
        </w:numPr>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al rispetto delle disposizioni di cui all’art. 53, comma 16-ter del D.lgs. numero 165/2001 e successive modifiche ed integrazioni in materia di conferimento di incarichi o contratti di lavoro ad ex dipendenti della stazione appaltante pena l’obbligo di restituzione dei compensi illegittimamente percepiti ed accertati ad essi riferiti.</w:t>
      </w:r>
    </w:p>
    <w:p w14:paraId="7448A3C4" w14:textId="77777777" w:rsidR="00D462FB" w:rsidRPr="00112BF9" w:rsidRDefault="008B3ECF">
      <w:pPr>
        <w:keepNext/>
        <w:widowControl w:val="0"/>
        <w:numPr>
          <w:ilvl w:val="0"/>
          <w:numId w:val="9"/>
        </w:numPr>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ad eseguire l’appalto nel rispetto del principio “non arrecare danno significativo agli obiettivi ambientali” con valutazione di conformità degli interventi al principio del “</w:t>
      </w:r>
      <w:r w:rsidRPr="00112BF9">
        <w:rPr>
          <w:rFonts w:ascii="Titillium" w:eastAsia="Arial" w:hAnsi="Titillium" w:cs="Arial"/>
          <w:i/>
          <w:color w:val="000000"/>
          <w:sz w:val="21"/>
          <w:szCs w:val="21"/>
          <w:highlight w:val="white"/>
        </w:rPr>
        <w:t>Do No Significant Harm</w:t>
      </w:r>
      <w:r w:rsidRPr="00112BF9">
        <w:rPr>
          <w:rFonts w:ascii="Titillium" w:eastAsia="Arial" w:hAnsi="Titillium" w:cs="Arial"/>
          <w:color w:val="000000"/>
          <w:sz w:val="21"/>
          <w:szCs w:val="21"/>
          <w:highlight w:val="white"/>
        </w:rPr>
        <w:t>” (DNSH) di cui all’art. 17, Reg. (UE) 2020/852 e secondo quanto definito nella Circolare MEF Circolare MEF 13 ottobre 2022, numero 33 e nella Guida operativa per il rispetto del principio di non arrecare danno significativo all’ambiente (Cd. DNSH) allegata.</w:t>
      </w:r>
    </w:p>
    <w:p w14:paraId="21BF8EFD" w14:textId="77777777" w:rsidR="00D462FB" w:rsidRPr="00112BF9" w:rsidRDefault="008B3ECF">
      <w:pPr>
        <w:keepNext/>
        <w:widowControl w:val="0"/>
        <w:numPr>
          <w:ilvl w:val="0"/>
          <w:numId w:val="9"/>
        </w:numPr>
        <w:pBdr>
          <w:top w:val="nil"/>
          <w:left w:val="nil"/>
          <w:bottom w:val="nil"/>
          <w:right w:val="nil"/>
          <w:between w:val="nil"/>
        </w:pBdr>
        <w:tabs>
          <w:tab w:val="left" w:pos="0"/>
          <w:tab w:val="left" w:pos="284"/>
          <w:tab w:val="left" w:pos="113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 conservare e produrre, anche su richiesta dell’autorità competente, tutta la documentazione di monitoraggio e rendicontazione, ivi inclusi i certificati di collaudo e verifica di conformità delle prestazioni rese, per ogni adempimento anche ai fini del finanziamento di cui beneficia l’appalto.</w:t>
      </w:r>
    </w:p>
    <w:p w14:paraId="4CDD5242" w14:textId="77777777" w:rsidR="00D462FB" w:rsidRPr="00112BF9" w:rsidRDefault="008B3ECF">
      <w:pPr>
        <w:keepNext/>
        <w:widowControl w:val="0"/>
        <w:numPr>
          <w:ilvl w:val="0"/>
          <w:numId w:val="9"/>
        </w:numPr>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nel rispetto delle priorità trasversali del Piano Nazionale di Ripresa e Resilienza volte a garantire pari opportunità generazionali, di genere, e territoriali, a rispettare gli obblighi previsti dal Piano Nazionale di Ripresa e Resilienza e dal D.L. 77/2021 convertito con L. numero 108/2021 “</w:t>
      </w:r>
      <w:r w:rsidRPr="00112BF9">
        <w:rPr>
          <w:rFonts w:ascii="Titillium" w:eastAsia="Arial" w:hAnsi="Titillium" w:cs="Arial"/>
          <w:i/>
          <w:color w:val="000000"/>
          <w:sz w:val="21"/>
          <w:szCs w:val="21"/>
          <w:highlight w:val="white"/>
        </w:rPr>
        <w:t>Governance del Piano Nazionale di Ripresa e Resilienza e prime misure di rafforzamento delle strutture amministrative e di accelerazione e snellimento delle procedure”.</w:t>
      </w:r>
    </w:p>
    <w:p w14:paraId="61A9795A" w14:textId="77777777" w:rsidR="00D462FB" w:rsidRPr="00112BF9" w:rsidRDefault="008B3ECF">
      <w:pPr>
        <w:keepNext/>
        <w:widowControl w:val="0"/>
        <w:numPr>
          <w:ilvl w:val="0"/>
          <w:numId w:val="9"/>
        </w:numPr>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assicurare una quota pari ad almeno il 30% delle assunzioni necessarie per l’esecuzione del contratto o per la realizzazione di attività ad essa connesse o strumentali, destinata sia all’occupazione giovanile sia all’occupazione femminile. A tal fine, l’IMPRESA dovrà produrre, su richiesta, apposita dichiarazione contenente le informazioni relative alle eventuali assunzioni effettuate durante il periodo di vigenza del Contratto con indicazione del numero di persone assunte e relativa indicazione di età e genere. La violazione del presente obbligo determina l’applicazione della penale di cui al successivo articolo “Penali”, fatta salva la possibilità di deroga;</w:t>
      </w:r>
    </w:p>
    <w:p w14:paraId="3DA1678F" w14:textId="77777777" w:rsidR="00D462FB" w:rsidRPr="00112BF9" w:rsidRDefault="008B3ECF">
      <w:pPr>
        <w:keepNext/>
        <w:widowControl w:val="0"/>
        <w:numPr>
          <w:ilvl w:val="0"/>
          <w:numId w:val="9"/>
        </w:numPr>
        <w:pBdr>
          <w:top w:val="nil"/>
          <w:left w:val="nil"/>
          <w:bottom w:val="nil"/>
          <w:right w:val="nil"/>
          <w:between w:val="nil"/>
        </w:pBdr>
        <w:tabs>
          <w:tab w:val="left" w:pos="284"/>
        </w:tabs>
        <w:spacing w:line="240" w:lineRule="auto"/>
        <w:ind w:left="0" w:right="-1220" w:hanging="2"/>
        <w:jc w:val="both"/>
        <w:rPr>
          <w:rFonts w:ascii="Titillium" w:hAnsi="Titillium"/>
          <w:color w:val="000000"/>
          <w:sz w:val="21"/>
          <w:szCs w:val="21"/>
          <w:highlight w:val="white"/>
        </w:rPr>
      </w:pPr>
      <w:r w:rsidRPr="00112BF9">
        <w:rPr>
          <w:rFonts w:ascii="Titillium" w:eastAsia="Arial" w:hAnsi="Titillium" w:cs="Arial"/>
          <w:b/>
          <w:color w:val="C00000"/>
          <w:sz w:val="21"/>
          <w:szCs w:val="21"/>
          <w:highlight w:val="white"/>
        </w:rPr>
        <w:t xml:space="preserve">[In caso di operatore con un numero di dipendenti pari o superiore a 15 ed inferiore a 50 </w:t>
      </w:r>
      <w:r w:rsidRPr="00112BF9">
        <w:rPr>
          <w:rFonts w:ascii="Titillium" w:eastAsia="Arial" w:hAnsi="Titillium" w:cs="Arial"/>
          <w:color w:val="C00000"/>
          <w:sz w:val="21"/>
          <w:szCs w:val="21"/>
          <w:highlight w:val="white"/>
        </w:rPr>
        <w:t xml:space="preserve"> </w:t>
      </w:r>
      <w:r w:rsidRPr="00112BF9">
        <w:rPr>
          <w:rFonts w:ascii="Titillium" w:eastAsia="Arial" w:hAnsi="Titillium" w:cs="Arial"/>
          <w:color w:val="000000"/>
          <w:sz w:val="21"/>
          <w:szCs w:val="21"/>
          <w:highlight w:val="white"/>
        </w:rPr>
        <w:t xml:space="preserve">ai sensi dell’articolo 100, comma 2 del Codice e nel rispetto dell’art.47, commi 3 e 3bis, della L. numero 108/2021, l’operatore si impegna a: </w:t>
      </w:r>
    </w:p>
    <w:p w14:paraId="740EA812" w14:textId="77777777" w:rsidR="00D462FB" w:rsidRPr="00112BF9" w:rsidRDefault="008B3ECF">
      <w:pPr>
        <w:keepNext/>
        <w:widowControl w:val="0"/>
        <w:numPr>
          <w:ilvl w:val="1"/>
          <w:numId w:val="9"/>
        </w:numPr>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a consegnare ad INAF entro sei mesi dalla conclusione del contratto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La relazione di cui al primo periodo è trasmessa alle rappresentanze sindacali aziendali e alla consigliera e al consigliere regionale di parità. La violazione di tale obbligo determina l’applicazione della penale di cui al successivo articolo “Penali”, nonché l’impossibilità di partecipare, in forma singola ovvero in RTI, per un periodo di dodici mesi, ad ulteriori procedure di affidamento afferenti agli investimenti pubblici finanziati in tutto o in parte, con le risorse di cui all’art. 47 al comma 1 del DL numero 77/2021. </w:t>
      </w:r>
    </w:p>
    <w:p w14:paraId="7152B38C" w14:textId="77777777" w:rsidR="00D462FB" w:rsidRPr="00112BF9" w:rsidRDefault="008B3ECF">
      <w:pPr>
        <w:keepNext/>
        <w:widowControl w:val="0"/>
        <w:numPr>
          <w:ilvl w:val="1"/>
          <w:numId w:val="9"/>
        </w:numPr>
        <w:pBdr>
          <w:top w:val="nil"/>
          <w:left w:val="nil"/>
          <w:bottom w:val="nil"/>
          <w:right w:val="nil"/>
          <w:between w:val="nil"/>
        </w:pBdr>
        <w:tabs>
          <w:tab w:val="left" w:pos="284"/>
        </w:tabs>
        <w:spacing w:line="240" w:lineRule="auto"/>
        <w:ind w:left="0" w:right="-1220" w:hanging="2"/>
        <w:jc w:val="both"/>
        <w:rPr>
          <w:rFonts w:ascii="Titillium" w:hAnsi="Titillium"/>
          <w:color w:val="000000"/>
          <w:sz w:val="21"/>
          <w:szCs w:val="21"/>
          <w:highlight w:val="white"/>
        </w:rPr>
      </w:pPr>
      <w:r w:rsidRPr="00112BF9">
        <w:rPr>
          <w:rFonts w:ascii="Titillium" w:eastAsia="Arial" w:hAnsi="Titillium" w:cs="Arial"/>
          <w:color w:val="000000"/>
          <w:sz w:val="21"/>
          <w:szCs w:val="21"/>
          <w:highlight w:val="white"/>
        </w:rPr>
        <w:t xml:space="preserve"> a consegnare, entro sei mesi dalla conclusione del contratto una relazione che attesti di essere in regola con le norme che disciplinano il diritto al lavoro delle persone con disabilità, nonché una relazione che chiarisca l’avvenuto assolvimento degli obblighi previsti dalla legge 68/99 ed illustri le eventuali sanzioni ed i provvedimenti imposti nel triennio precedente la data di scadenza per la presentazione delle offerte. Tale relazione deve essere trasmessa anche alle rappresentanze </w:t>
      </w:r>
      <w:r w:rsidRPr="00112BF9">
        <w:rPr>
          <w:rFonts w:ascii="Titillium" w:eastAsia="Arial" w:hAnsi="Titillium" w:cs="Arial"/>
          <w:color w:val="000000"/>
          <w:sz w:val="21"/>
          <w:szCs w:val="21"/>
          <w:highlight w:val="white"/>
        </w:rPr>
        <w:lastRenderedPageBreak/>
        <w:t>sindacali. La violazione di tale obbligo determina l’applicazione della penale di cui al successivo articolo “Penali”.</w:t>
      </w:r>
      <w:r w:rsidRPr="00112BF9">
        <w:rPr>
          <w:rFonts w:ascii="Titillium" w:eastAsia="Arial" w:hAnsi="Titillium" w:cs="Arial"/>
          <w:b/>
          <w:color w:val="C00000"/>
          <w:sz w:val="21"/>
          <w:szCs w:val="21"/>
          <w:highlight w:val="white"/>
        </w:rPr>
        <w:t>]</w:t>
      </w:r>
    </w:p>
    <w:p w14:paraId="0CBEE930" w14:textId="77777777" w:rsidR="00D462FB" w:rsidRPr="00112BF9" w:rsidRDefault="00D462FB">
      <w:pPr>
        <w:keepNext/>
        <w:widowControl w:val="0"/>
        <w:pBdr>
          <w:top w:val="nil"/>
          <w:left w:val="nil"/>
          <w:bottom w:val="nil"/>
          <w:right w:val="nil"/>
          <w:between w:val="nil"/>
        </w:pBdr>
        <w:tabs>
          <w:tab w:val="left" w:pos="284"/>
        </w:tabs>
        <w:spacing w:line="240" w:lineRule="auto"/>
        <w:ind w:left="0" w:right="-1220" w:hanging="2"/>
        <w:jc w:val="both"/>
        <w:rPr>
          <w:rFonts w:ascii="Titillium" w:eastAsia="Arial" w:hAnsi="Titillium" w:cs="Arial"/>
          <w:b/>
          <w:color w:val="C00000"/>
          <w:sz w:val="21"/>
          <w:szCs w:val="21"/>
          <w:highlight w:val="white"/>
        </w:rPr>
      </w:pPr>
    </w:p>
    <w:p w14:paraId="13049C80" w14:textId="77777777" w:rsidR="00D462FB" w:rsidRPr="00112BF9" w:rsidRDefault="008B3ECF">
      <w:pPr>
        <w:keepNext/>
        <w:widowControl w:val="0"/>
        <w:pBdr>
          <w:top w:val="nil"/>
          <w:left w:val="nil"/>
          <w:bottom w:val="nil"/>
          <w:right w:val="nil"/>
          <w:between w:val="nil"/>
        </w:pBdr>
        <w:tabs>
          <w:tab w:val="left" w:pos="426"/>
        </w:tabs>
        <w:spacing w:line="240" w:lineRule="auto"/>
        <w:ind w:left="0" w:right="-1220" w:hanging="2"/>
        <w:jc w:val="center"/>
        <w:rPr>
          <w:rFonts w:ascii="Titillium" w:eastAsia="Arial" w:hAnsi="Titillium" w:cs="Arial"/>
          <w:b/>
          <w:color w:val="000000"/>
          <w:sz w:val="21"/>
          <w:szCs w:val="21"/>
          <w:highlight w:val="whit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Sostenibilità energetica ed ambientale</w:t>
      </w:r>
    </w:p>
    <w:p w14:paraId="32F4879C" w14:textId="77777777" w:rsidR="00D462FB" w:rsidRPr="00112BF9" w:rsidRDefault="008B3ECF">
      <w:pPr>
        <w:keepNext/>
        <w:widowControl w:val="0"/>
        <w:pBdr>
          <w:top w:val="nil"/>
          <w:left w:val="nil"/>
          <w:bottom w:val="nil"/>
          <w:right w:val="nil"/>
          <w:between w:val="nil"/>
        </w:pBdr>
        <w:tabs>
          <w:tab w:val="left" w:pos="426"/>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L’Impresa</w:t>
      </w:r>
      <w:r w:rsidRPr="00112BF9">
        <w:rPr>
          <w:rFonts w:ascii="Titillium" w:eastAsia="Arial" w:hAnsi="Titillium" w:cs="Arial"/>
          <w:sz w:val="21"/>
          <w:szCs w:val="21"/>
          <w:highlight w:val="white"/>
        </w:rPr>
        <w:t xml:space="preserve"> </w:t>
      </w:r>
      <w:r w:rsidRPr="00112BF9">
        <w:rPr>
          <w:rFonts w:ascii="Titillium" w:eastAsia="Arial" w:hAnsi="Titillium" w:cs="Arial"/>
          <w:color w:val="000000"/>
          <w:sz w:val="21"/>
          <w:szCs w:val="21"/>
          <w:highlight w:val="white"/>
        </w:rPr>
        <w:t>si impegna ad effettuare le prestazioni oggetto del contratto in conformità ai criteri ambientali minimi adottati dal Ministero dell’Ambiente nell’ambito del Piano d’azione per la sostenibilità ambientale dei consumi nel settore della pubblica amministrazione.</w:t>
      </w:r>
    </w:p>
    <w:p w14:paraId="6A032C7C" w14:textId="77777777" w:rsidR="00D462FB" w:rsidRPr="00112BF9" w:rsidRDefault="008B3ECF">
      <w:pPr>
        <w:keepNext/>
        <w:widowControl w:val="0"/>
        <w:pBdr>
          <w:top w:val="nil"/>
          <w:left w:val="nil"/>
          <w:bottom w:val="nil"/>
          <w:right w:val="nil"/>
          <w:between w:val="nil"/>
        </w:pBdr>
        <w:tabs>
          <w:tab w:val="left" w:pos="426"/>
        </w:tabs>
        <w:spacing w:line="240" w:lineRule="auto"/>
        <w:ind w:left="0" w:right="-1220" w:hanging="2"/>
        <w:jc w:val="center"/>
        <w:rPr>
          <w:rFonts w:ascii="Titillium" w:eastAsia="Arial" w:hAnsi="Titillium" w:cs="Arial"/>
          <w:b/>
          <w:color w:val="000000"/>
          <w:sz w:val="21"/>
          <w:szCs w:val="21"/>
          <w:highlight w:val="whit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Modalità di esecuzione</w:t>
      </w:r>
    </w:p>
    <w:p w14:paraId="16CE6F76" w14:textId="77777777" w:rsidR="00D462FB" w:rsidRPr="00112BF9" w:rsidRDefault="008B3ECF">
      <w:pPr>
        <w:keepNext/>
        <w:widowControl w:val="0"/>
        <w:pBdr>
          <w:top w:val="nil"/>
          <w:left w:val="nil"/>
          <w:bottom w:val="nil"/>
          <w:right w:val="nil"/>
          <w:between w:val="nil"/>
        </w:pBdr>
        <w:tabs>
          <w:tab w:val="left" w:pos="426"/>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Le condizioni e le modalità di esecuzione dell’appalto saranno esclusivamente quelle elencate nei documenti relativi al presente affidamento, accettati dall’IMPRESA, che si impegna formalmente ad eseguire l’appalto alle condizioni e con le modalità previste nei citati documenti.</w:t>
      </w:r>
    </w:p>
    <w:p w14:paraId="0896B040" w14:textId="19EC334A" w:rsidR="00D462FB" w:rsidRPr="00112BF9" w:rsidRDefault="008B3ECF">
      <w:pPr>
        <w:keepNext/>
        <w:widowControl w:val="0"/>
        <w:pBdr>
          <w:top w:val="nil"/>
          <w:left w:val="nil"/>
          <w:bottom w:val="nil"/>
          <w:right w:val="nil"/>
          <w:between w:val="nil"/>
        </w:pBdr>
        <w:tabs>
          <w:tab w:val="left" w:pos="426"/>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L’erogazione del </w:t>
      </w:r>
      <w:r w:rsidRPr="00112BF9">
        <w:rPr>
          <w:rFonts w:ascii="Titillium" w:eastAsia="Arial" w:hAnsi="Titillium" w:cs="Arial"/>
          <w:bCs/>
          <w:color w:val="000000" w:themeColor="text1"/>
          <w:sz w:val="21"/>
          <w:szCs w:val="21"/>
          <w:highlight w:val="white"/>
        </w:rPr>
        <w:t>servizio</w:t>
      </w:r>
      <w:r w:rsidRPr="00112BF9">
        <w:rPr>
          <w:rFonts w:ascii="Titillium" w:eastAsia="Arial" w:hAnsi="Titillium" w:cs="Arial"/>
          <w:b/>
          <w:color w:val="000000" w:themeColor="text1"/>
          <w:sz w:val="21"/>
          <w:szCs w:val="21"/>
          <w:highlight w:val="white"/>
        </w:rPr>
        <w:t xml:space="preserve"> </w:t>
      </w:r>
      <w:r w:rsidRPr="00112BF9">
        <w:rPr>
          <w:rFonts w:ascii="Titillium" w:eastAsia="Arial" w:hAnsi="Titillium" w:cs="Arial"/>
          <w:color w:val="000000"/>
          <w:sz w:val="21"/>
          <w:szCs w:val="21"/>
          <w:highlight w:val="white"/>
        </w:rPr>
        <w:t>si intende comprensiva di ogni onere e spesa, nessuno escluso.</w:t>
      </w:r>
    </w:p>
    <w:p w14:paraId="17F44B70" w14:textId="77777777" w:rsidR="00D462FB" w:rsidRPr="00112BF9" w:rsidRDefault="008B3ECF">
      <w:pPr>
        <w:keepNext/>
        <w:widowControl w:val="0"/>
        <w:pBdr>
          <w:top w:val="nil"/>
          <w:left w:val="nil"/>
          <w:bottom w:val="nil"/>
          <w:right w:val="nil"/>
          <w:between w:val="nil"/>
        </w:pBdr>
        <w:tabs>
          <w:tab w:val="left" w:pos="426"/>
        </w:tabs>
        <w:spacing w:line="240" w:lineRule="auto"/>
        <w:ind w:left="0" w:right="-1220" w:hanging="2"/>
        <w:jc w:val="both"/>
        <w:rPr>
          <w:rFonts w:ascii="Titillium" w:eastAsia="Arial" w:hAnsi="Titillium" w:cs="Arial"/>
          <w:sz w:val="21"/>
          <w:szCs w:val="21"/>
          <w:highlight w:val="white"/>
        </w:rPr>
      </w:pPr>
      <w:r w:rsidRPr="00112BF9">
        <w:rPr>
          <w:rFonts w:ascii="Titillium" w:eastAsia="Arial" w:hAnsi="Titillium" w:cs="Arial"/>
          <w:color w:val="000000"/>
          <w:sz w:val="21"/>
          <w:szCs w:val="21"/>
          <w:highlight w:val="white"/>
        </w:rPr>
        <w:t xml:space="preserve">L’IMPRESA si obbliga a rispettare tutte le indicazioni relative alla buona e corretta esecuzione contrattuale che dovessero essere impartite dalla </w:t>
      </w:r>
      <w:r w:rsidRPr="00112BF9">
        <w:rPr>
          <w:rFonts w:ascii="Titillium" w:eastAsia="Arial" w:hAnsi="Titillium" w:cs="Arial"/>
          <w:sz w:val="21"/>
          <w:szCs w:val="21"/>
          <w:highlight w:val="white"/>
        </w:rPr>
        <w:t>S</w:t>
      </w:r>
      <w:r w:rsidRPr="00112BF9">
        <w:rPr>
          <w:rFonts w:ascii="Titillium" w:eastAsia="Arial" w:hAnsi="Titillium" w:cs="Arial"/>
          <w:color w:val="000000"/>
          <w:sz w:val="21"/>
          <w:szCs w:val="21"/>
          <w:highlight w:val="white"/>
        </w:rPr>
        <w:t xml:space="preserve">tazione </w:t>
      </w:r>
      <w:r w:rsidRPr="00112BF9">
        <w:rPr>
          <w:rFonts w:ascii="Titillium" w:eastAsia="Arial" w:hAnsi="Titillium" w:cs="Arial"/>
          <w:sz w:val="21"/>
          <w:szCs w:val="21"/>
          <w:highlight w:val="white"/>
        </w:rPr>
        <w:t>A</w:t>
      </w:r>
      <w:r w:rsidRPr="00112BF9">
        <w:rPr>
          <w:rFonts w:ascii="Titillium" w:eastAsia="Arial" w:hAnsi="Titillium" w:cs="Arial"/>
          <w:color w:val="000000"/>
          <w:sz w:val="21"/>
          <w:szCs w:val="21"/>
          <w:highlight w:val="white"/>
        </w:rPr>
        <w:t>ppaltante</w:t>
      </w:r>
      <w:r w:rsidRPr="00112BF9">
        <w:rPr>
          <w:rFonts w:ascii="Titillium" w:eastAsia="Arial" w:hAnsi="Titillium" w:cs="Arial"/>
          <w:sz w:val="21"/>
          <w:szCs w:val="21"/>
          <w:highlight w:val="white"/>
        </w:rPr>
        <w:t>.</w:t>
      </w:r>
    </w:p>
    <w:p w14:paraId="11FEC668" w14:textId="77777777" w:rsidR="00D462FB" w:rsidRPr="00112BF9" w:rsidRDefault="00D462FB">
      <w:pPr>
        <w:keepNext/>
        <w:widowControl w:val="0"/>
        <w:pBdr>
          <w:top w:val="nil"/>
          <w:left w:val="nil"/>
          <w:bottom w:val="nil"/>
          <w:right w:val="nil"/>
          <w:between w:val="nil"/>
        </w:pBdr>
        <w:tabs>
          <w:tab w:val="left" w:pos="426"/>
        </w:tabs>
        <w:spacing w:line="240" w:lineRule="auto"/>
        <w:ind w:left="0" w:right="-1220" w:hanging="2"/>
        <w:jc w:val="both"/>
        <w:rPr>
          <w:rFonts w:ascii="Titillium" w:eastAsia="Arial" w:hAnsi="Titillium" w:cs="Arial"/>
          <w:sz w:val="21"/>
          <w:szCs w:val="21"/>
          <w:highlight w:val="white"/>
        </w:rPr>
      </w:pPr>
    </w:p>
    <w:p w14:paraId="760E3887" w14:textId="77777777" w:rsidR="00D462FB" w:rsidRPr="00112BF9" w:rsidRDefault="008B3ECF">
      <w:pPr>
        <w:keepNext/>
        <w:widowControl w:val="0"/>
        <w:pBdr>
          <w:top w:val="nil"/>
          <w:left w:val="nil"/>
          <w:bottom w:val="nil"/>
          <w:right w:val="nil"/>
          <w:between w:val="nil"/>
        </w:pBdr>
        <w:tabs>
          <w:tab w:val="left" w:pos="426"/>
          <w:tab w:val="left" w:pos="709"/>
          <w:tab w:val="left" w:pos="851"/>
        </w:tabs>
        <w:spacing w:line="240" w:lineRule="auto"/>
        <w:ind w:left="0" w:right="-1220" w:hanging="2"/>
        <w:jc w:val="center"/>
        <w:rPr>
          <w:rFonts w:ascii="Titillium" w:eastAsia="Arial" w:hAnsi="Titillium" w:cs="Arial"/>
          <w:b/>
          <w:color w:val="000000"/>
          <w:sz w:val="21"/>
          <w:szCs w:val="21"/>
          <w:highlight w:val="whit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Subappalto</w:t>
      </w:r>
    </w:p>
    <w:p w14:paraId="1A9B8E74" w14:textId="77777777" w:rsidR="00D462FB" w:rsidRPr="00112BF9" w:rsidRDefault="008B3ECF">
      <w:pPr>
        <w:keepNext/>
        <w:widowControl w:val="0"/>
        <w:pBdr>
          <w:top w:val="nil"/>
          <w:left w:val="nil"/>
          <w:bottom w:val="nil"/>
          <w:right w:val="nil"/>
          <w:between w:val="nil"/>
        </w:pBdr>
        <w:tabs>
          <w:tab w:val="left" w:pos="426"/>
          <w:tab w:val="left" w:pos="709"/>
          <w:tab w:val="left" w:pos="851"/>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 Ai sensi </w:t>
      </w:r>
      <w:r w:rsidRPr="00112BF9">
        <w:rPr>
          <w:rFonts w:ascii="Titillium" w:eastAsia="Arial" w:hAnsi="Titillium" w:cs="Arial"/>
          <w:sz w:val="21"/>
          <w:szCs w:val="21"/>
          <w:highlight w:val="white"/>
        </w:rPr>
        <w:t xml:space="preserve">del Decreto legislativo 31 marzo 2023, n. 36 il </w:t>
      </w:r>
      <w:r w:rsidRPr="00112BF9">
        <w:rPr>
          <w:rFonts w:ascii="Titillium" w:eastAsia="Arial" w:hAnsi="Titillium" w:cs="Arial"/>
          <w:color w:val="000000"/>
          <w:sz w:val="21"/>
          <w:szCs w:val="21"/>
          <w:highlight w:val="white"/>
        </w:rPr>
        <w:t>subappalto è consentito per ___________________ e previo consenso della stazione appaltante.</w:t>
      </w:r>
    </w:p>
    <w:p w14:paraId="5CB4B1E9" w14:textId="77777777" w:rsidR="00D462FB" w:rsidRPr="00112BF9" w:rsidRDefault="008B3ECF">
      <w:pPr>
        <w:keepNext/>
        <w:widowControl w:val="0"/>
        <w:pBdr>
          <w:top w:val="nil"/>
          <w:left w:val="nil"/>
          <w:bottom w:val="nil"/>
          <w:right w:val="nil"/>
          <w:between w:val="nil"/>
        </w:pBdr>
        <w:tabs>
          <w:tab w:val="left" w:pos="426"/>
          <w:tab w:val="left" w:pos="709"/>
          <w:tab w:val="left" w:pos="851"/>
        </w:tabs>
        <w:spacing w:line="240" w:lineRule="auto"/>
        <w:ind w:left="0" w:right="-1220" w:hanging="2"/>
        <w:jc w:val="both"/>
        <w:rPr>
          <w:rFonts w:ascii="Titillium" w:eastAsia="Arial" w:hAnsi="Titillium" w:cs="Arial"/>
          <w:b/>
          <w:color w:val="C00000"/>
          <w:sz w:val="21"/>
          <w:szCs w:val="21"/>
          <w:highlight w:val="white"/>
        </w:rPr>
      </w:pPr>
      <w:r w:rsidRPr="00112BF9">
        <w:rPr>
          <w:rFonts w:ascii="Titillium" w:eastAsia="Arial" w:hAnsi="Titillium" w:cs="Arial"/>
          <w:color w:val="000000"/>
          <w:sz w:val="21"/>
          <w:szCs w:val="21"/>
          <w:highlight w:val="white"/>
        </w:rPr>
        <w:t xml:space="preserve"> I pagamenti ai subappaltatori saranno effettuati dall’appaltatore che è obbligato a trasmettere alla Sezione ___________________ / alla Struttura di ___________________ di INAF entro 20 giorni dalla data di ciascun pagamento, copia delle fatture quietanzate. Il contratto di subappalto dovrà essere depositato almeno 20 (venti) giorni prima della data di effettivo inizio dell’esecuzione delle prestazioni oggetto della fornitura unitamente alle dichiarazioni  del subappaltatore attestanti  il possesso dei requisiti di qualificazione prescritti dal</w:t>
      </w:r>
      <w:r w:rsidRPr="00112BF9">
        <w:rPr>
          <w:rFonts w:ascii="Titillium" w:eastAsia="Arial" w:hAnsi="Titillium" w:cs="Arial"/>
          <w:sz w:val="21"/>
          <w:szCs w:val="21"/>
          <w:highlight w:val="white"/>
        </w:rPr>
        <w:t xml:space="preserve">la legge </w:t>
      </w:r>
      <w:r w:rsidRPr="00112BF9">
        <w:rPr>
          <w:rFonts w:ascii="Titillium" w:eastAsia="Arial" w:hAnsi="Titillium" w:cs="Arial"/>
          <w:color w:val="000000"/>
          <w:sz w:val="21"/>
          <w:szCs w:val="21"/>
          <w:highlight w:val="white"/>
        </w:rPr>
        <w:t xml:space="preserve">in relazione alla prestazione subappaltata e l’assenza dei motivi di esclusione di cui </w:t>
      </w:r>
      <w:r w:rsidRPr="00112BF9">
        <w:rPr>
          <w:rFonts w:ascii="Titillium" w:eastAsia="Arial" w:hAnsi="Titillium" w:cs="Arial"/>
          <w:sz w:val="21"/>
          <w:szCs w:val="21"/>
          <w:highlight w:val="white"/>
        </w:rPr>
        <w:t>al Codice dei Contratti.</w:t>
      </w:r>
    </w:p>
    <w:p w14:paraId="1B1A1336" w14:textId="77777777" w:rsidR="00D462FB" w:rsidRPr="00112BF9" w:rsidRDefault="008B3ECF">
      <w:pPr>
        <w:keepNext/>
        <w:widowControl w:val="0"/>
        <w:pBdr>
          <w:top w:val="nil"/>
          <w:left w:val="nil"/>
          <w:bottom w:val="nil"/>
          <w:right w:val="nil"/>
          <w:between w:val="nil"/>
        </w:pBdr>
        <w:tabs>
          <w:tab w:val="left" w:pos="426"/>
          <w:tab w:val="left" w:pos="709"/>
          <w:tab w:val="left" w:pos="851"/>
        </w:tabs>
        <w:spacing w:line="240" w:lineRule="auto"/>
        <w:ind w:left="0" w:right="-1220" w:hanging="2"/>
        <w:jc w:val="both"/>
        <w:rPr>
          <w:rFonts w:ascii="Titillium" w:eastAsia="Arial" w:hAnsi="Titillium" w:cs="Arial"/>
          <w:b/>
          <w:color w:val="C00000"/>
          <w:sz w:val="21"/>
          <w:szCs w:val="21"/>
          <w:highlight w:val="white"/>
        </w:rPr>
      </w:pPr>
      <w:r w:rsidRPr="00112BF9">
        <w:rPr>
          <w:rFonts w:ascii="Titillium" w:eastAsia="Arial" w:hAnsi="Titillium" w:cs="Arial"/>
          <w:b/>
          <w:color w:val="C00000"/>
          <w:sz w:val="21"/>
          <w:szCs w:val="21"/>
          <w:highlight w:val="white"/>
        </w:rPr>
        <w:t xml:space="preserve">[O in alternativa: </w:t>
      </w:r>
      <w:r w:rsidRPr="00112BF9">
        <w:rPr>
          <w:rFonts w:ascii="Titillium" w:eastAsia="Arial" w:hAnsi="Titillium" w:cs="Arial"/>
          <w:color w:val="000000"/>
          <w:sz w:val="21"/>
          <w:szCs w:val="21"/>
          <w:highlight w:val="white"/>
        </w:rPr>
        <w:t>Non essendo stata dichiarata in sede di offerta dall’IMPRESA la volontà di subappaltare parte della fornitura, il subappalto non è ammesso</w:t>
      </w:r>
      <w:r w:rsidRPr="00112BF9">
        <w:rPr>
          <w:rFonts w:ascii="Titillium" w:eastAsia="Arial" w:hAnsi="Titillium" w:cs="Arial"/>
          <w:b/>
          <w:color w:val="C00000"/>
          <w:sz w:val="21"/>
          <w:szCs w:val="21"/>
          <w:highlight w:val="white"/>
        </w:rPr>
        <w:t>.]</w:t>
      </w:r>
    </w:p>
    <w:p w14:paraId="525FB0BE" w14:textId="77777777" w:rsidR="00D462FB" w:rsidRPr="00112BF9" w:rsidRDefault="00D462FB">
      <w:pPr>
        <w:keepNext/>
        <w:widowControl w:val="0"/>
        <w:pBdr>
          <w:top w:val="nil"/>
          <w:left w:val="nil"/>
          <w:bottom w:val="nil"/>
          <w:right w:val="nil"/>
          <w:between w:val="nil"/>
        </w:pBdr>
        <w:tabs>
          <w:tab w:val="left" w:pos="426"/>
          <w:tab w:val="left" w:pos="709"/>
          <w:tab w:val="left" w:pos="851"/>
        </w:tabs>
        <w:spacing w:line="240" w:lineRule="auto"/>
        <w:ind w:left="0" w:right="-1220" w:hanging="2"/>
        <w:jc w:val="both"/>
        <w:rPr>
          <w:rFonts w:ascii="Titillium" w:eastAsia="Arial" w:hAnsi="Titillium" w:cs="Arial"/>
          <w:b/>
          <w:color w:val="C00000"/>
          <w:sz w:val="21"/>
          <w:szCs w:val="21"/>
          <w:highlight w:val="white"/>
        </w:rPr>
      </w:pPr>
    </w:p>
    <w:p w14:paraId="3C0C56B8" w14:textId="77777777" w:rsidR="00D462FB" w:rsidRPr="00112BF9" w:rsidRDefault="008B3ECF">
      <w:pPr>
        <w:keepNext/>
        <w:widowControl w:val="0"/>
        <w:pBdr>
          <w:top w:val="nil"/>
          <w:left w:val="nil"/>
          <w:bottom w:val="nil"/>
          <w:right w:val="nil"/>
          <w:between w:val="nil"/>
        </w:pBdr>
        <w:tabs>
          <w:tab w:val="left" w:pos="426"/>
        </w:tabs>
        <w:spacing w:line="240" w:lineRule="auto"/>
        <w:ind w:left="0" w:right="-1220" w:hanging="2"/>
        <w:jc w:val="center"/>
        <w:rPr>
          <w:rFonts w:ascii="Titillium" w:eastAsia="Arial" w:hAnsi="Titillium" w:cs="Arial"/>
          <w:b/>
          <w:color w:val="000000"/>
          <w:sz w:val="21"/>
          <w:szCs w:val="21"/>
          <w:highlight w:val="whit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Cessione del Contratto</w:t>
      </w:r>
    </w:p>
    <w:p w14:paraId="4067A7B0" w14:textId="77777777" w:rsidR="00D462FB" w:rsidRPr="00112BF9" w:rsidRDefault="008B3ECF">
      <w:pPr>
        <w:keepNext/>
        <w:widowControl w:val="0"/>
        <w:pBdr>
          <w:top w:val="nil"/>
          <w:left w:val="nil"/>
          <w:bottom w:val="nil"/>
          <w:right w:val="nil"/>
          <w:between w:val="nil"/>
        </w:pBdr>
        <w:tabs>
          <w:tab w:val="left" w:pos="426"/>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È fatto divieto all'IMPRESA di cedere, a qualsiasi titolo, il Contratto pena la nullità della cessione medesima. </w:t>
      </w:r>
    </w:p>
    <w:p w14:paraId="6398D26B" w14:textId="77777777" w:rsidR="00D462FB" w:rsidRPr="00112BF9" w:rsidRDefault="00D462FB">
      <w:pPr>
        <w:keepNext/>
        <w:widowControl w:val="0"/>
        <w:pBdr>
          <w:top w:val="nil"/>
          <w:left w:val="nil"/>
          <w:bottom w:val="nil"/>
          <w:right w:val="nil"/>
          <w:between w:val="nil"/>
        </w:pBdr>
        <w:tabs>
          <w:tab w:val="left" w:pos="426"/>
        </w:tabs>
        <w:spacing w:line="240" w:lineRule="auto"/>
        <w:ind w:left="0" w:right="-1220" w:hanging="2"/>
        <w:jc w:val="both"/>
        <w:rPr>
          <w:rFonts w:ascii="Titillium" w:eastAsia="Arial" w:hAnsi="Titillium" w:cs="Arial"/>
          <w:sz w:val="21"/>
          <w:szCs w:val="21"/>
          <w:highlight w:val="white"/>
        </w:rPr>
      </w:pPr>
    </w:p>
    <w:p w14:paraId="78CD37A6" w14:textId="77777777" w:rsidR="00D462FB" w:rsidRPr="00112BF9" w:rsidRDefault="008B3ECF">
      <w:pPr>
        <w:pBdr>
          <w:top w:val="nil"/>
          <w:left w:val="nil"/>
          <w:bottom w:val="nil"/>
          <w:right w:val="nil"/>
          <w:between w:val="nil"/>
        </w:pBdr>
        <w:tabs>
          <w:tab w:val="left" w:pos="426"/>
        </w:tabs>
        <w:spacing w:line="240" w:lineRule="auto"/>
        <w:ind w:left="0" w:right="-1220" w:hanging="2"/>
        <w:jc w:val="center"/>
        <w:rPr>
          <w:rFonts w:ascii="Titillium" w:eastAsia="Arial" w:hAnsi="Titillium" w:cs="Arial"/>
          <w:color w:val="000000"/>
          <w:sz w:val="21"/>
          <w:szCs w:val="21"/>
          <w:highlight w:val="white"/>
        </w:rPr>
      </w:pPr>
      <w:r w:rsidRPr="00112BF9">
        <w:rPr>
          <w:rFonts w:ascii="Titillium" w:eastAsia="Arial" w:hAnsi="Titillium" w:cs="Arial"/>
          <w:b/>
          <w:color w:val="C00000"/>
          <w:sz w:val="21"/>
          <w:szCs w:val="21"/>
          <w:highlight w:val="white"/>
          <w:u w:val="single"/>
        </w:rPr>
        <w:t xml:space="preserve">[Eventuale per Avvalimento Interno : </w:t>
      </w: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Avvalimento</w:t>
      </w:r>
    </w:p>
    <w:p w14:paraId="73DCC0E8" w14:textId="77777777" w:rsidR="00D462FB" w:rsidRPr="00112BF9" w:rsidRDefault="008B3ECF">
      <w:pPr>
        <w:pBdr>
          <w:top w:val="nil"/>
          <w:left w:val="nil"/>
          <w:bottom w:val="nil"/>
          <w:right w:val="nil"/>
          <w:between w:val="nil"/>
        </w:pBdr>
        <w:tabs>
          <w:tab w:val="left" w:pos="426"/>
        </w:tabs>
        <w:spacing w:line="240" w:lineRule="auto"/>
        <w:ind w:left="0" w:right="-1220" w:hanging="2"/>
        <w:jc w:val="both"/>
        <w:rPr>
          <w:rFonts w:ascii="Titillium" w:eastAsia="Arial" w:hAnsi="Titillium" w:cs="Arial"/>
          <w:b/>
          <w:color w:val="C00000"/>
          <w:sz w:val="21"/>
          <w:szCs w:val="21"/>
          <w:highlight w:val="white"/>
        </w:rPr>
      </w:pPr>
      <w:bookmarkStart w:id="3" w:name="_heading=h.1fob9te" w:colFirst="0" w:colLast="0"/>
      <w:bookmarkEnd w:id="3"/>
      <w:r w:rsidRPr="00112BF9">
        <w:rPr>
          <w:rFonts w:ascii="Titillium" w:eastAsia="Arial" w:hAnsi="Titillium" w:cs="Arial"/>
          <w:color w:val="000000"/>
          <w:sz w:val="21"/>
          <w:szCs w:val="21"/>
          <w:highlight w:val="white"/>
        </w:rPr>
        <w:t xml:space="preserve"> L’INAF prende atto del legame di gruppo esistente tra l’IMPRESA e l’ausiliaria _______ che si impegna a mettere a disposizione le risorse necessarie per tutta la durata dell’appalto. L’ausiliaria ______________ è responsabile in solido con l’IMPRESA nei confronti dell’INAF per le obbligazioni discendenti dal presente Contratto</w:t>
      </w:r>
      <w:r w:rsidRPr="00112BF9">
        <w:rPr>
          <w:rFonts w:ascii="Titillium" w:eastAsia="Arial" w:hAnsi="Titillium" w:cs="Arial"/>
          <w:b/>
          <w:color w:val="C00000"/>
          <w:sz w:val="21"/>
          <w:szCs w:val="21"/>
          <w:highlight w:val="white"/>
        </w:rPr>
        <w:t>]</w:t>
      </w:r>
    </w:p>
    <w:p w14:paraId="76E169CE" w14:textId="77777777" w:rsidR="00D462FB" w:rsidRPr="00112BF9" w:rsidRDefault="00D462FB">
      <w:pPr>
        <w:pBdr>
          <w:top w:val="nil"/>
          <w:left w:val="nil"/>
          <w:bottom w:val="nil"/>
          <w:right w:val="nil"/>
          <w:between w:val="nil"/>
        </w:pBdr>
        <w:tabs>
          <w:tab w:val="left" w:pos="426"/>
        </w:tabs>
        <w:spacing w:line="240" w:lineRule="auto"/>
        <w:ind w:left="0" w:right="-1220" w:hanging="2"/>
        <w:jc w:val="both"/>
        <w:rPr>
          <w:rFonts w:ascii="Titillium" w:eastAsia="Arial" w:hAnsi="Titillium" w:cs="Arial"/>
          <w:b/>
          <w:color w:val="C00000"/>
          <w:sz w:val="21"/>
          <w:szCs w:val="21"/>
          <w:highlight w:val="white"/>
        </w:rPr>
      </w:pPr>
      <w:bookmarkStart w:id="4" w:name="_heading=h.12osz2tu4yc0" w:colFirst="0" w:colLast="0"/>
      <w:bookmarkEnd w:id="4"/>
    </w:p>
    <w:p w14:paraId="40A508D5" w14:textId="77777777" w:rsidR="00D462FB" w:rsidRPr="00112BF9" w:rsidRDefault="008B3ECF">
      <w:pPr>
        <w:pBdr>
          <w:top w:val="nil"/>
          <w:left w:val="nil"/>
          <w:bottom w:val="nil"/>
          <w:right w:val="nil"/>
          <w:between w:val="nil"/>
        </w:pBdr>
        <w:tabs>
          <w:tab w:val="left" w:pos="426"/>
        </w:tabs>
        <w:spacing w:line="240" w:lineRule="auto"/>
        <w:ind w:left="0" w:right="-1220" w:hanging="2"/>
        <w:jc w:val="center"/>
        <w:rPr>
          <w:rFonts w:ascii="Titillium" w:eastAsia="Arial" w:hAnsi="Titillium" w:cs="Arial"/>
          <w:color w:val="000000"/>
          <w:sz w:val="21"/>
          <w:szCs w:val="21"/>
          <w:highlight w:val="white"/>
        </w:rPr>
      </w:pPr>
      <w:r w:rsidRPr="00112BF9">
        <w:rPr>
          <w:rFonts w:ascii="Titillium" w:eastAsia="Arial" w:hAnsi="Titillium" w:cs="Arial"/>
          <w:b/>
          <w:color w:val="C00000"/>
          <w:sz w:val="21"/>
          <w:szCs w:val="21"/>
          <w:highlight w:val="white"/>
          <w:u w:val="single"/>
        </w:rPr>
        <w:t xml:space="preserve">[Eventuale per Avvalimento Esterno: </w:t>
      </w:r>
      <w:r w:rsidRPr="00112BF9">
        <w:rPr>
          <w:rFonts w:ascii="Titillium" w:eastAsia="Arial" w:hAnsi="Titillium" w:cs="Arial"/>
          <w:b/>
          <w:color w:val="000000"/>
          <w:sz w:val="21"/>
          <w:szCs w:val="21"/>
          <w:highlight w:val="white"/>
          <w:u w:val="single"/>
        </w:rPr>
        <w:t>Art. Avvalimento</w:t>
      </w:r>
    </w:p>
    <w:p w14:paraId="1650BD1B" w14:textId="77777777" w:rsidR="00D462FB" w:rsidRPr="00112BF9" w:rsidRDefault="008B3ECF">
      <w:pPr>
        <w:pBdr>
          <w:top w:val="nil"/>
          <w:left w:val="nil"/>
          <w:bottom w:val="nil"/>
          <w:right w:val="nil"/>
          <w:between w:val="nil"/>
        </w:pBdr>
        <w:tabs>
          <w:tab w:val="left" w:pos="426"/>
        </w:tabs>
        <w:spacing w:line="240" w:lineRule="auto"/>
        <w:ind w:left="0" w:right="-1220" w:hanging="2"/>
        <w:jc w:val="both"/>
        <w:rPr>
          <w:rFonts w:ascii="Titillium" w:eastAsia="Arial" w:hAnsi="Titillium" w:cs="Arial"/>
          <w:b/>
          <w:color w:val="C00000"/>
          <w:sz w:val="21"/>
          <w:szCs w:val="21"/>
          <w:highlight w:val="white"/>
        </w:rPr>
      </w:pPr>
      <w:r w:rsidRPr="00112BF9">
        <w:rPr>
          <w:rFonts w:ascii="Titillium" w:eastAsia="Arial" w:hAnsi="Titillium" w:cs="Arial"/>
          <w:color w:val="000000"/>
          <w:sz w:val="21"/>
          <w:szCs w:val="21"/>
          <w:highlight w:val="white"/>
        </w:rPr>
        <w:t xml:space="preserve">L’INAF riconosce la validità del contratto di avvalimento stipulato il __________ tra l’IMPRESA e la Società _________ di _____________in ordine alla messa a disposizione da parte di quest’ultima del requisito del _______________ </w:t>
      </w:r>
      <w:r w:rsidRPr="00112BF9">
        <w:rPr>
          <w:rFonts w:ascii="Titillium" w:eastAsia="Arial" w:hAnsi="Titillium" w:cs="Arial"/>
          <w:b/>
          <w:color w:val="C00000"/>
          <w:sz w:val="21"/>
          <w:szCs w:val="21"/>
          <w:highlight w:val="white"/>
        </w:rPr>
        <w:t>]</w:t>
      </w:r>
    </w:p>
    <w:p w14:paraId="3273739A" w14:textId="77777777" w:rsidR="00D462FB" w:rsidRPr="00112BF9" w:rsidRDefault="00D462FB">
      <w:pPr>
        <w:pBdr>
          <w:top w:val="nil"/>
          <w:left w:val="nil"/>
          <w:bottom w:val="nil"/>
          <w:right w:val="nil"/>
          <w:between w:val="nil"/>
        </w:pBdr>
        <w:tabs>
          <w:tab w:val="left" w:pos="426"/>
        </w:tabs>
        <w:spacing w:line="240" w:lineRule="auto"/>
        <w:ind w:left="0" w:right="-1220" w:hanging="2"/>
        <w:jc w:val="both"/>
        <w:rPr>
          <w:rFonts w:ascii="Titillium" w:eastAsia="Arial" w:hAnsi="Titillium" w:cs="Arial"/>
          <w:b/>
          <w:color w:val="C00000"/>
          <w:sz w:val="21"/>
          <w:szCs w:val="21"/>
          <w:highlight w:val="white"/>
        </w:rPr>
      </w:pPr>
    </w:p>
    <w:p w14:paraId="122696AB" w14:textId="77777777" w:rsidR="00D462FB" w:rsidRPr="00112BF9" w:rsidRDefault="008B3ECF">
      <w:pPr>
        <w:keepNext/>
        <w:widowControl w:val="0"/>
        <w:pBdr>
          <w:top w:val="nil"/>
          <w:left w:val="nil"/>
          <w:bottom w:val="nil"/>
          <w:right w:val="nil"/>
          <w:between w:val="nil"/>
        </w:pBdr>
        <w:spacing w:line="240" w:lineRule="auto"/>
        <w:ind w:left="0" w:right="-1220" w:hanging="2"/>
        <w:jc w:val="center"/>
        <w:rPr>
          <w:rFonts w:ascii="Titillium" w:eastAsia="Arial" w:hAnsi="Titillium" w:cs="Arial"/>
          <w:b/>
          <w:color w:val="FF0000"/>
          <w:sz w:val="21"/>
          <w:szCs w:val="21"/>
          <w:highlight w:val="white"/>
        </w:rPr>
      </w:pPr>
      <w:r w:rsidRPr="00112BF9">
        <w:rPr>
          <w:rFonts w:ascii="Titillium" w:eastAsia="Arial" w:hAnsi="Titillium" w:cs="Arial"/>
          <w:b/>
          <w:color w:val="C00000"/>
          <w:sz w:val="21"/>
          <w:szCs w:val="21"/>
          <w:highlight w:val="white"/>
        </w:rPr>
        <w:t>[Eventuale :</w:t>
      </w:r>
      <w:r w:rsidRPr="00112BF9">
        <w:rPr>
          <w:rFonts w:ascii="Titillium" w:eastAsia="Arial" w:hAnsi="Titillium" w:cs="Arial"/>
          <w:b/>
          <w:color w:val="000000"/>
          <w:sz w:val="21"/>
          <w:szCs w:val="21"/>
          <w:highlight w:val="white"/>
        </w:rPr>
        <w:t xml:space="preserve"> Art. </w:t>
      </w:r>
      <w:r w:rsidRPr="00112BF9">
        <w:rPr>
          <w:rFonts w:ascii="Titillium" w:eastAsia="Arial" w:hAnsi="Titillium" w:cs="Arial"/>
          <w:b/>
          <w:color w:val="000000"/>
          <w:sz w:val="21"/>
          <w:szCs w:val="21"/>
          <w:highlight w:val="white"/>
          <w:u w:val="single"/>
        </w:rPr>
        <w:t>Assicurazione a carico dell’Appaltatore</w:t>
      </w:r>
      <w:r w:rsidRPr="00112BF9">
        <w:rPr>
          <w:rFonts w:ascii="Titillium" w:eastAsia="Arial" w:hAnsi="Titillium" w:cs="Arial"/>
          <w:b/>
          <w:color w:val="000000"/>
          <w:sz w:val="21"/>
          <w:szCs w:val="21"/>
          <w:highlight w:val="white"/>
        </w:rPr>
        <w:t xml:space="preserve">  </w:t>
      </w:r>
    </w:p>
    <w:p w14:paraId="6D6EC8AE" w14:textId="77777777" w:rsidR="00D462FB" w:rsidRPr="00112BF9" w:rsidRDefault="008B3ECF">
      <w:pPr>
        <w:keepNext/>
        <w:widowControl w:val="0"/>
        <w:pBdr>
          <w:top w:val="nil"/>
          <w:left w:val="nil"/>
          <w:bottom w:val="nil"/>
          <w:right w:val="nil"/>
          <w:between w:val="nil"/>
        </w:pBdr>
        <w:spacing w:line="240" w:lineRule="auto"/>
        <w:ind w:left="0" w:right="-1220" w:hanging="2"/>
        <w:jc w:val="both"/>
        <w:rPr>
          <w:rFonts w:ascii="Titillium" w:eastAsia="Arial" w:hAnsi="Titillium" w:cs="Arial"/>
          <w:b/>
          <w:color w:val="C00000"/>
          <w:sz w:val="21"/>
          <w:szCs w:val="21"/>
          <w:highlight w:val="white"/>
        </w:rPr>
      </w:pPr>
      <w:r w:rsidRPr="00112BF9">
        <w:rPr>
          <w:rFonts w:ascii="Titillium" w:eastAsia="Arial" w:hAnsi="Titillium" w:cs="Arial"/>
          <w:b/>
          <w:color w:val="000000"/>
          <w:sz w:val="21"/>
          <w:szCs w:val="21"/>
          <w:highlight w:val="white"/>
        </w:rPr>
        <w:t xml:space="preserve"> </w:t>
      </w:r>
      <w:r w:rsidRPr="00112BF9">
        <w:rPr>
          <w:rFonts w:ascii="Titillium" w:eastAsia="Arial" w:hAnsi="Titillium" w:cs="Arial"/>
          <w:color w:val="000000"/>
          <w:sz w:val="21"/>
          <w:szCs w:val="21"/>
          <w:highlight w:val="white"/>
        </w:rPr>
        <w:t>L’IMPRESA è ritenuta responsabile di qualunque fatto doloso o colposo anche dei propri dipendenti che cagioni danni all’INAF al personale INAF, a terzi o a cose di terzi e si impegna conseguentemente al risarcimento di tutti i danni, diretti o indiretti, prodotti o conseguenti. A tal fine l’appaltatore ha stipulato la polizza di cui in premessa.</w:t>
      </w:r>
      <w:r w:rsidRPr="00112BF9">
        <w:rPr>
          <w:rFonts w:ascii="Titillium" w:eastAsia="Arial" w:hAnsi="Titillium" w:cs="Arial"/>
          <w:b/>
          <w:color w:val="C00000"/>
          <w:sz w:val="21"/>
          <w:szCs w:val="21"/>
          <w:highlight w:val="white"/>
        </w:rPr>
        <w:t>]</w:t>
      </w:r>
    </w:p>
    <w:p w14:paraId="4E159BA5" w14:textId="77777777" w:rsidR="00D462FB" w:rsidRPr="00112BF9" w:rsidRDefault="00D462FB">
      <w:pPr>
        <w:keepNext/>
        <w:widowControl w:val="0"/>
        <w:pBdr>
          <w:top w:val="nil"/>
          <w:left w:val="nil"/>
          <w:bottom w:val="nil"/>
          <w:right w:val="nil"/>
          <w:between w:val="nil"/>
        </w:pBdr>
        <w:spacing w:line="240" w:lineRule="auto"/>
        <w:ind w:left="0" w:right="-1220" w:hanging="2"/>
        <w:jc w:val="both"/>
        <w:rPr>
          <w:rFonts w:ascii="Titillium" w:eastAsia="Arial" w:hAnsi="Titillium" w:cs="Arial"/>
          <w:b/>
          <w:color w:val="C00000"/>
          <w:sz w:val="21"/>
          <w:szCs w:val="21"/>
          <w:highlight w:val="white"/>
        </w:rPr>
      </w:pPr>
    </w:p>
    <w:p w14:paraId="2E00DA17" w14:textId="77777777" w:rsidR="00D462FB" w:rsidRPr="00112BF9" w:rsidRDefault="008B3ECF">
      <w:pPr>
        <w:pBdr>
          <w:top w:val="nil"/>
          <w:left w:val="nil"/>
          <w:bottom w:val="nil"/>
          <w:right w:val="nil"/>
          <w:between w:val="nil"/>
        </w:pBdr>
        <w:tabs>
          <w:tab w:val="left" w:pos="284"/>
        </w:tabs>
        <w:spacing w:line="240" w:lineRule="auto"/>
        <w:ind w:left="0" w:right="-1220" w:hanging="2"/>
        <w:jc w:val="center"/>
        <w:rPr>
          <w:rFonts w:ascii="Titillium" w:eastAsia="Arial" w:hAnsi="Titillium" w:cs="Arial"/>
          <w:b/>
          <w:color w:val="000000"/>
          <w:sz w:val="21"/>
          <w:szCs w:val="21"/>
          <w:highlight w:val="whit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Penali</w:t>
      </w:r>
      <w:r w:rsidRPr="00112BF9">
        <w:rPr>
          <w:rFonts w:ascii="Titillium" w:eastAsia="Arial" w:hAnsi="Titillium" w:cs="Arial"/>
          <w:b/>
          <w:color w:val="000000"/>
          <w:sz w:val="21"/>
          <w:szCs w:val="21"/>
          <w:highlight w:val="white"/>
        </w:rPr>
        <w:t xml:space="preserve"> </w:t>
      </w:r>
    </w:p>
    <w:p w14:paraId="71BB7354" w14:textId="007819E1" w:rsidR="00D462FB" w:rsidRPr="00112BF9" w:rsidRDefault="008B3ECF">
      <w:pPr>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b/>
          <w:color w:val="000000"/>
          <w:sz w:val="21"/>
          <w:szCs w:val="21"/>
          <w:highlight w:val="white"/>
        </w:rPr>
        <w:t xml:space="preserve"> </w:t>
      </w:r>
      <w:r w:rsidRPr="00112BF9">
        <w:rPr>
          <w:rFonts w:ascii="Titillium" w:eastAsia="Arial" w:hAnsi="Titillium" w:cs="Arial"/>
          <w:color w:val="000000"/>
          <w:sz w:val="21"/>
          <w:szCs w:val="21"/>
          <w:highlight w:val="white"/>
        </w:rPr>
        <w:t xml:space="preserve">Nel caso di inadempienze o di ritardi nell’esecuzione del presente Contratto, inclusa la violazione degli obblighi inerenti alla promozione di parità di genere e generazionale di cui agli articoli 47 </w:t>
      </w:r>
      <w:r w:rsidRPr="00112BF9">
        <w:rPr>
          <w:rFonts w:ascii="Titillium" w:eastAsia="Arial" w:hAnsi="Titillium" w:cs="Arial"/>
          <w:color w:val="000000"/>
          <w:sz w:val="21"/>
          <w:szCs w:val="21"/>
          <w:highlight w:val="white"/>
        </w:rPr>
        <w:lastRenderedPageBreak/>
        <w:t>comma 3, 3-bis e 4 del D.L. 77/2021, l’IMPRESA sarà tenuta al pagamento di una penale pari a ______% (……………)  dell’importo contrattuale, per ogni giorno di ritardata consegna o inadempimento rispetto al termine indicato nella diffida, fino ad un massimo del ….% (…………..) del medesimo importo.</w:t>
      </w:r>
      <w:r w:rsidRPr="00112BF9">
        <w:rPr>
          <w:rFonts w:ascii="Titillium" w:eastAsia="Arial" w:hAnsi="Titillium" w:cs="Arial"/>
          <w:b/>
          <w:color w:val="C00000"/>
          <w:sz w:val="21"/>
          <w:szCs w:val="21"/>
          <w:highlight w:val="white"/>
        </w:rPr>
        <w:t xml:space="preserve"> </w:t>
      </w:r>
    </w:p>
    <w:p w14:paraId="3F444897" w14:textId="77777777" w:rsidR="00D462FB" w:rsidRPr="00112BF9" w:rsidRDefault="008B3ECF">
      <w:pPr>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 L'applicazione delle penali non preclude all’INAF il diritto di agire per il risarcimento degli eventuali maggiori danni o per l'eventuale risoluzione del Contratto, se l'ammontare delle penali dovesse raggiungere l'importo della garanzia fideiussoria definitiva.</w:t>
      </w:r>
    </w:p>
    <w:p w14:paraId="39A19210" w14:textId="77777777" w:rsidR="00D462FB" w:rsidRPr="00112BF9" w:rsidRDefault="00D462FB">
      <w:pPr>
        <w:pBdr>
          <w:top w:val="nil"/>
          <w:left w:val="nil"/>
          <w:bottom w:val="nil"/>
          <w:right w:val="nil"/>
          <w:between w:val="nil"/>
        </w:pBdr>
        <w:tabs>
          <w:tab w:val="left" w:pos="284"/>
        </w:tabs>
        <w:spacing w:line="240" w:lineRule="auto"/>
        <w:ind w:left="0" w:right="-1220" w:hanging="2"/>
        <w:jc w:val="both"/>
        <w:rPr>
          <w:rFonts w:ascii="Titillium" w:eastAsia="Arial" w:hAnsi="Titillium" w:cs="Arial"/>
          <w:color w:val="000000"/>
          <w:sz w:val="21"/>
          <w:szCs w:val="21"/>
          <w:highlight w:val="white"/>
        </w:rPr>
      </w:pPr>
    </w:p>
    <w:p w14:paraId="066D350D" w14:textId="77777777" w:rsidR="00D462FB" w:rsidRPr="00112BF9" w:rsidRDefault="008B3ECF">
      <w:pPr>
        <w:keepNext/>
        <w:widowControl w:val="0"/>
        <w:pBdr>
          <w:top w:val="nil"/>
          <w:left w:val="nil"/>
          <w:bottom w:val="nil"/>
          <w:right w:val="nil"/>
          <w:between w:val="nil"/>
        </w:pBdr>
        <w:tabs>
          <w:tab w:val="left" w:pos="426"/>
        </w:tabs>
        <w:spacing w:line="240" w:lineRule="auto"/>
        <w:ind w:left="0" w:right="-1220" w:hanging="2"/>
        <w:jc w:val="center"/>
        <w:rPr>
          <w:rFonts w:ascii="Titillium" w:eastAsia="Arial" w:hAnsi="Titillium" w:cs="Arial"/>
          <w:b/>
          <w:color w:val="000000"/>
          <w:sz w:val="21"/>
          <w:szCs w:val="21"/>
          <w:highlight w:val="whit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Garanzia definitiva</w:t>
      </w:r>
    </w:p>
    <w:p w14:paraId="2698E0E8" w14:textId="41D70627" w:rsidR="00D462FB" w:rsidRPr="00112BF9" w:rsidRDefault="008B3ECF">
      <w:pPr>
        <w:widowControl w:val="0"/>
        <w:pBdr>
          <w:top w:val="nil"/>
          <w:left w:val="nil"/>
          <w:bottom w:val="nil"/>
          <w:right w:val="nil"/>
          <w:between w:val="nil"/>
        </w:pBdr>
        <w:tabs>
          <w:tab w:val="left" w:pos="426"/>
        </w:tabs>
        <w:spacing w:line="240" w:lineRule="auto"/>
        <w:ind w:left="0" w:right="-1220" w:hanging="2"/>
        <w:jc w:val="both"/>
        <w:rPr>
          <w:rFonts w:ascii="Titillium" w:eastAsia="Arial" w:hAnsi="Titillium" w:cs="Arial"/>
          <w:b/>
          <w:color w:val="C00000"/>
          <w:sz w:val="21"/>
          <w:szCs w:val="21"/>
          <w:highlight w:val="white"/>
        </w:rPr>
      </w:pPr>
      <w:r w:rsidRPr="00112BF9">
        <w:rPr>
          <w:rFonts w:ascii="Titillium" w:eastAsia="Arial" w:hAnsi="Titillium" w:cs="Arial"/>
          <w:color w:val="000000"/>
          <w:sz w:val="21"/>
          <w:szCs w:val="21"/>
          <w:highlight w:val="white"/>
        </w:rPr>
        <w:t xml:space="preserve">L’IMPRESA ha presentato garanzia definitiva come in premessa, che sarà svincolata nei modi e nei tempi previsti </w:t>
      </w:r>
      <w:r w:rsidRPr="00112BF9">
        <w:rPr>
          <w:rFonts w:ascii="Titillium" w:eastAsia="Arial" w:hAnsi="Titillium" w:cs="Arial"/>
          <w:sz w:val="21"/>
          <w:szCs w:val="21"/>
          <w:highlight w:val="white"/>
        </w:rPr>
        <w:t xml:space="preserve">dalla legge. </w:t>
      </w:r>
      <w:r w:rsidRPr="00112BF9">
        <w:rPr>
          <w:rFonts w:ascii="Titillium" w:eastAsia="Arial" w:hAnsi="Titillium" w:cs="Arial"/>
          <w:color w:val="000000"/>
          <w:sz w:val="21"/>
          <w:szCs w:val="21"/>
          <w:highlight w:val="white"/>
        </w:rPr>
        <w:t>L’IMPRESA si impegna a tenere valida ed efficace la garanzia per tutta la durata del presente Contratto e a reintegrarla, ove l’INAF se ne dovesse avvalere, entro il termine di 10 (dieci) giorni dalla richiesta. In caso di mancato reintegro entro il termine sopra indicato, il Contratto si intenderà risolto di diritto, salvo il risarcimento del danno.</w:t>
      </w:r>
      <w:r w:rsidRPr="00112BF9">
        <w:rPr>
          <w:rFonts w:ascii="Titillium" w:eastAsia="Arial" w:hAnsi="Titillium" w:cs="Arial"/>
          <w:b/>
          <w:color w:val="C00000"/>
          <w:sz w:val="21"/>
          <w:szCs w:val="21"/>
          <w:highlight w:val="white"/>
        </w:rPr>
        <w:t>]</w:t>
      </w:r>
    </w:p>
    <w:p w14:paraId="51F8EC10" w14:textId="77777777" w:rsidR="00D462FB" w:rsidRPr="00112BF9" w:rsidRDefault="00D462FB">
      <w:pPr>
        <w:widowControl w:val="0"/>
        <w:pBdr>
          <w:top w:val="nil"/>
          <w:left w:val="nil"/>
          <w:bottom w:val="nil"/>
          <w:right w:val="nil"/>
          <w:between w:val="nil"/>
        </w:pBdr>
        <w:tabs>
          <w:tab w:val="left" w:pos="426"/>
        </w:tabs>
        <w:spacing w:line="240" w:lineRule="auto"/>
        <w:ind w:left="0" w:right="-1220" w:hanging="2"/>
        <w:jc w:val="both"/>
        <w:rPr>
          <w:rFonts w:ascii="Titillium" w:eastAsia="Arial" w:hAnsi="Titillium" w:cs="Arial"/>
          <w:b/>
          <w:color w:val="C00000"/>
          <w:sz w:val="21"/>
          <w:szCs w:val="21"/>
          <w:highlight w:val="white"/>
        </w:rPr>
      </w:pPr>
    </w:p>
    <w:p w14:paraId="5584FC1A" w14:textId="77777777" w:rsidR="00D462FB" w:rsidRPr="00112BF9" w:rsidRDefault="008B3ECF">
      <w:pPr>
        <w:widowControl w:val="0"/>
        <w:pBdr>
          <w:top w:val="nil"/>
          <w:left w:val="nil"/>
          <w:bottom w:val="nil"/>
          <w:right w:val="nil"/>
          <w:between w:val="nil"/>
        </w:pBdr>
        <w:tabs>
          <w:tab w:val="left" w:pos="426"/>
        </w:tabs>
        <w:spacing w:line="240" w:lineRule="auto"/>
        <w:ind w:left="0" w:right="-1220" w:hanging="2"/>
        <w:jc w:val="center"/>
        <w:rPr>
          <w:rFonts w:ascii="Titillium" w:eastAsia="Arial" w:hAnsi="Titillium" w:cs="Arial"/>
          <w:color w:val="000000"/>
          <w:sz w:val="21"/>
          <w:szCs w:val="21"/>
          <w:highlight w:val="whit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Verifica di conformità, fatturazione e pagamenti</w:t>
      </w:r>
      <w:r w:rsidRPr="00112BF9">
        <w:rPr>
          <w:rFonts w:ascii="Titillium" w:eastAsia="Arial" w:hAnsi="Titillium" w:cs="Arial"/>
          <w:b/>
          <w:color w:val="000000"/>
          <w:sz w:val="21"/>
          <w:szCs w:val="21"/>
          <w:highlight w:val="white"/>
        </w:rPr>
        <w:t xml:space="preserve"> –</w:t>
      </w:r>
    </w:p>
    <w:p w14:paraId="69C84690" w14:textId="157864FE" w:rsidR="00D462FB" w:rsidRPr="00112BF9" w:rsidRDefault="008B3ECF">
      <w:pPr>
        <w:widowControl w:val="0"/>
        <w:pBdr>
          <w:top w:val="nil"/>
          <w:left w:val="nil"/>
          <w:bottom w:val="nil"/>
          <w:right w:val="nil"/>
          <w:between w:val="nil"/>
        </w:pBdr>
        <w:tabs>
          <w:tab w:val="left" w:pos="426"/>
        </w:tabs>
        <w:spacing w:line="240" w:lineRule="auto"/>
        <w:ind w:left="0" w:right="-1220" w:hanging="2"/>
        <w:jc w:val="both"/>
        <w:rPr>
          <w:rFonts w:ascii="Titillium" w:eastAsia="Arial" w:hAnsi="Titillium" w:cs="Arial"/>
          <w:color w:val="FF0000"/>
          <w:sz w:val="21"/>
          <w:szCs w:val="21"/>
          <w:highlight w:val="white"/>
        </w:rPr>
      </w:pPr>
      <w:r w:rsidRPr="00112BF9">
        <w:rPr>
          <w:rFonts w:ascii="Titillium" w:eastAsia="Arial" w:hAnsi="Titillium" w:cs="Arial"/>
          <w:color w:val="FF0000"/>
          <w:sz w:val="21"/>
          <w:szCs w:val="21"/>
          <w:highlight w:val="white"/>
        </w:rPr>
        <w:t>La verifica finale della conformità della fornitura resa sarà effettuata a cura del Responsabile Unico del Procedimento/Direttore dell’Esecuzione, indicato al successivo articolo ______, entro ….. (…..) giorni dalla data di consegna dei prodotti.</w:t>
      </w:r>
      <w:r w:rsidRPr="00112BF9">
        <w:rPr>
          <w:rFonts w:ascii="Titillium" w:eastAsia="Arial" w:hAnsi="Titillium" w:cs="Arial"/>
          <w:b/>
          <w:color w:val="FF0000"/>
          <w:sz w:val="21"/>
          <w:szCs w:val="21"/>
          <w:highlight w:val="white"/>
        </w:rPr>
        <w:t>]</w:t>
      </w:r>
    </w:p>
    <w:p w14:paraId="4347E957" w14:textId="77777777" w:rsidR="00D462FB" w:rsidRPr="00112BF9" w:rsidRDefault="008B3ECF">
      <w:pPr>
        <w:widowControl w:val="0"/>
        <w:pBdr>
          <w:top w:val="nil"/>
          <w:left w:val="nil"/>
          <w:bottom w:val="nil"/>
          <w:right w:val="nil"/>
          <w:between w:val="nil"/>
        </w:pBdr>
        <w:tabs>
          <w:tab w:val="left" w:pos="426"/>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Qualora tale verifica dia esito positivo, l’IMPRESA sarà autorizzata per iscritto da parte del Responsabile Unico del Procedimento, che avrà rilasciato il relativo certificato di pagamento, ad emettere fattura in formato elettronico. L’INAF provvederà al pagamento del corrispettivo, dietro il previo invio di regolare fattura da parte dell’impresa</w:t>
      </w:r>
      <w:r w:rsidRPr="00112BF9">
        <w:rPr>
          <w:rFonts w:ascii="Titillium" w:eastAsia="Arial" w:hAnsi="Titillium" w:cs="Arial"/>
          <w:b/>
          <w:color w:val="C00000"/>
          <w:sz w:val="21"/>
          <w:szCs w:val="21"/>
          <w:highlight w:val="white"/>
        </w:rPr>
        <w:t xml:space="preserve"> [o in alternativa: </w:t>
      </w:r>
      <w:r w:rsidRPr="00112BF9">
        <w:rPr>
          <w:rFonts w:ascii="Titillium" w:eastAsia="Arial" w:hAnsi="Titillium" w:cs="Arial"/>
          <w:color w:val="000000"/>
          <w:sz w:val="21"/>
          <w:szCs w:val="21"/>
          <w:highlight w:val="white"/>
        </w:rPr>
        <w:t>del componente del R.T.I. al quale la prestazione resa è imputabile</w:t>
      </w:r>
      <w:r w:rsidRPr="00112BF9">
        <w:rPr>
          <w:rFonts w:ascii="Titillium" w:eastAsia="Arial" w:hAnsi="Titillium" w:cs="Arial"/>
          <w:color w:val="C00000"/>
          <w:sz w:val="21"/>
          <w:szCs w:val="21"/>
          <w:highlight w:val="white"/>
        </w:rPr>
        <w:t>].</w:t>
      </w:r>
      <w:r w:rsidRPr="00112BF9">
        <w:rPr>
          <w:rFonts w:ascii="Titillium" w:eastAsia="Arial" w:hAnsi="Titillium" w:cs="Arial"/>
          <w:b/>
          <w:color w:val="C00000"/>
          <w:sz w:val="21"/>
          <w:szCs w:val="21"/>
          <w:highlight w:val="white"/>
        </w:rPr>
        <w:t xml:space="preserve"> </w:t>
      </w:r>
      <w:r w:rsidRPr="00112BF9">
        <w:rPr>
          <w:rFonts w:ascii="Titillium" w:eastAsia="Arial" w:hAnsi="Titillium" w:cs="Arial"/>
          <w:color w:val="000000"/>
          <w:sz w:val="21"/>
          <w:szCs w:val="21"/>
          <w:highlight w:val="white"/>
        </w:rPr>
        <w:t xml:space="preserve">Tutte le fatture dovranno essere trasmesse tramite il Sistema di Interscambio (SdI) dell’Agenzia delle Entrate, utilizzando il Codice Univoco Ufficio (CUU): </w:t>
      </w:r>
      <w:r w:rsidRPr="00112BF9">
        <w:rPr>
          <w:rFonts w:ascii="Titillium" w:eastAsia="Arial" w:hAnsi="Titillium" w:cs="Arial"/>
          <w:b/>
          <w:color w:val="000000"/>
          <w:sz w:val="21"/>
          <w:szCs w:val="21"/>
          <w:highlight w:val="white"/>
        </w:rPr>
        <w:t>…….</w:t>
      </w:r>
      <w:r w:rsidRPr="00112BF9">
        <w:rPr>
          <w:rFonts w:ascii="Titillium" w:eastAsia="Arial" w:hAnsi="Titillium" w:cs="Arial"/>
          <w:color w:val="000000"/>
          <w:sz w:val="21"/>
          <w:szCs w:val="21"/>
          <w:highlight w:val="white"/>
        </w:rPr>
        <w:t xml:space="preserve"> e riportando nel Campo Esigibilità IVA la lettera “S”. Il pagamento del corrispettivo sarà effettuato, mediante bonifico bancario su conto corrente dedicato, anche in via non esclusiva, alle commesse pubbliche che l’IMPRESA provvederà ad indicare ad INAF entro 7 (sette) giorni dalla data della sua accensione. L’IMPRESA dovrà inoltre comunicare entro lo stesso termine le generalità e il codice fiscale delle persone delegate ad operare su di esso. Ai sensi della legge numero 136/2010 e successive modifiche ed integrazioni, l’IMPRESA si obbliga, </w:t>
      </w:r>
      <w:r w:rsidRPr="00112BF9">
        <w:rPr>
          <w:rFonts w:ascii="Titillium" w:eastAsia="Arial" w:hAnsi="Titillium" w:cs="Arial"/>
          <w:b/>
          <w:color w:val="C00000"/>
          <w:sz w:val="21"/>
          <w:szCs w:val="21"/>
          <w:highlight w:val="white"/>
        </w:rPr>
        <w:t xml:space="preserve"> [Eventuale</w:t>
      </w:r>
      <w:r w:rsidRPr="00112BF9">
        <w:rPr>
          <w:rFonts w:ascii="Titillium" w:eastAsia="Arial" w:hAnsi="Titillium" w:cs="Arial"/>
          <w:color w:val="000000"/>
          <w:sz w:val="21"/>
          <w:szCs w:val="21"/>
          <w:highlight w:val="white"/>
        </w:rPr>
        <w:t>: anche nei confronti di eventuali subcontraenti, subappaltatori</w:t>
      </w:r>
      <w:r w:rsidRPr="00112BF9">
        <w:rPr>
          <w:rFonts w:ascii="Titillium" w:eastAsia="Arial" w:hAnsi="Titillium" w:cs="Arial"/>
          <w:b/>
          <w:color w:val="C00000"/>
          <w:sz w:val="21"/>
          <w:szCs w:val="21"/>
          <w:highlight w:val="white"/>
        </w:rPr>
        <w:t>]</w:t>
      </w:r>
      <w:r w:rsidRPr="00112BF9">
        <w:rPr>
          <w:rFonts w:ascii="Titillium" w:eastAsia="Arial" w:hAnsi="Titillium" w:cs="Arial"/>
          <w:color w:val="000000"/>
          <w:sz w:val="21"/>
          <w:szCs w:val="21"/>
          <w:highlight w:val="white"/>
        </w:rPr>
        <w:t xml:space="preserve">, a garantire la tracciabilità dei flussi finanziari relativi al presente appalto (CIG numero ……. e CUP numero ……..), pena la risoluzione del contratto. Il pagamento sarà subordinato alla verifica d’ufficio della regolarità contributiva dell’IMPRESA nonché, alle verifiche previste dall’art. 48 bis del d.P.R. numero 602/1973 e successive modifiche ed integrazioni, da parte di INAF. L’IMPRESA si impegna a comunicare tempestivamente all’INAF le eventuali variazioni delle coordinate bancarie, esonerando l’INAF in difetto di tale notifica, da ogni responsabilità per i pagamenti eseguiti, anche ove le predette variazioni siano pubblicate nei modi di legge. </w:t>
      </w:r>
    </w:p>
    <w:p w14:paraId="38CF7F14" w14:textId="77777777" w:rsidR="00D462FB" w:rsidRPr="00112BF9" w:rsidRDefault="00D462FB">
      <w:pPr>
        <w:widowControl w:val="0"/>
        <w:pBdr>
          <w:top w:val="nil"/>
          <w:left w:val="nil"/>
          <w:bottom w:val="nil"/>
          <w:right w:val="nil"/>
          <w:between w:val="nil"/>
        </w:pBdr>
        <w:tabs>
          <w:tab w:val="left" w:pos="426"/>
        </w:tabs>
        <w:spacing w:line="240" w:lineRule="auto"/>
        <w:ind w:left="0" w:right="-1220" w:hanging="2"/>
        <w:jc w:val="both"/>
        <w:rPr>
          <w:rFonts w:ascii="Titillium" w:eastAsia="Arial" w:hAnsi="Titillium" w:cs="Arial"/>
          <w:sz w:val="21"/>
          <w:szCs w:val="21"/>
          <w:highlight w:val="white"/>
        </w:rPr>
      </w:pPr>
    </w:p>
    <w:p w14:paraId="0B4AFF41" w14:textId="77777777" w:rsidR="00D462FB" w:rsidRPr="00112BF9" w:rsidRDefault="008B3ECF">
      <w:pPr>
        <w:pBdr>
          <w:top w:val="nil"/>
          <w:left w:val="nil"/>
          <w:bottom w:val="nil"/>
          <w:right w:val="nil"/>
          <w:between w:val="nil"/>
        </w:pBdr>
        <w:tabs>
          <w:tab w:val="left" w:pos="426"/>
        </w:tabs>
        <w:spacing w:line="240" w:lineRule="auto"/>
        <w:ind w:left="0" w:right="-1220" w:hanging="2"/>
        <w:jc w:val="center"/>
        <w:rPr>
          <w:rFonts w:ascii="Titillium" w:eastAsia="Arial" w:hAnsi="Titillium" w:cs="Arial"/>
          <w:b/>
          <w:color w:val="000000"/>
          <w:sz w:val="21"/>
          <w:szCs w:val="21"/>
          <w:highlight w:val="white"/>
        </w:rPr>
      </w:pPr>
      <w:r w:rsidRPr="00112BF9">
        <w:rPr>
          <w:rFonts w:ascii="Titillium" w:eastAsia="Arial" w:hAnsi="Titillium" w:cs="Arial"/>
          <w:b/>
          <w:color w:val="000000"/>
          <w:sz w:val="21"/>
          <w:szCs w:val="21"/>
          <w:highlight w:val="white"/>
          <w:u w:val="single"/>
        </w:rPr>
        <w:t>Art. Garanzia della fornitura</w:t>
      </w:r>
    </w:p>
    <w:p w14:paraId="572F240C" w14:textId="77777777" w:rsidR="00D462FB" w:rsidRPr="00112BF9" w:rsidRDefault="008B3ECF">
      <w:pPr>
        <w:pBdr>
          <w:top w:val="nil"/>
          <w:left w:val="nil"/>
          <w:bottom w:val="nil"/>
          <w:right w:val="nil"/>
          <w:between w:val="nil"/>
        </w:pBdr>
        <w:tabs>
          <w:tab w:val="left" w:pos="426"/>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b/>
          <w:color w:val="000000"/>
          <w:sz w:val="21"/>
          <w:szCs w:val="21"/>
          <w:highlight w:val="white"/>
        </w:rPr>
        <w:t xml:space="preserve"> </w:t>
      </w:r>
      <w:r w:rsidRPr="00112BF9">
        <w:rPr>
          <w:rFonts w:ascii="Titillium" w:eastAsia="Arial" w:hAnsi="Titillium" w:cs="Arial"/>
          <w:color w:val="000000"/>
          <w:sz w:val="21"/>
          <w:szCs w:val="21"/>
          <w:highlight w:val="white"/>
        </w:rPr>
        <w:t>L’IMPRESA garantisce la fornitura oggetto del presente Contratto per la durata di 12 (dodici) mesi dalla data di emissione del certificato di verifica di conformità. L’IMPRESA si impegna a sostituire a sua cura e spese quelle parti della fornitura che, per difetto di lavorazione e/o qualità di materiale, risultassero non idonee o difettose, nonché ad effettuare tutte le prestazioni conseguenti.</w:t>
      </w:r>
    </w:p>
    <w:p w14:paraId="4686CC7B" w14:textId="77777777" w:rsidR="00D462FB" w:rsidRPr="00112BF9" w:rsidRDefault="00D462FB">
      <w:pPr>
        <w:pBdr>
          <w:top w:val="nil"/>
          <w:left w:val="nil"/>
          <w:bottom w:val="nil"/>
          <w:right w:val="nil"/>
          <w:between w:val="nil"/>
        </w:pBdr>
        <w:tabs>
          <w:tab w:val="left" w:pos="426"/>
        </w:tabs>
        <w:spacing w:line="240" w:lineRule="auto"/>
        <w:ind w:left="0" w:right="-1220" w:hanging="2"/>
        <w:jc w:val="both"/>
        <w:rPr>
          <w:rFonts w:ascii="Titillium" w:eastAsia="Arial" w:hAnsi="Titillium" w:cs="Arial"/>
          <w:color w:val="000000"/>
          <w:sz w:val="21"/>
          <w:szCs w:val="21"/>
          <w:highlight w:val="white"/>
        </w:rPr>
      </w:pPr>
    </w:p>
    <w:p w14:paraId="3C5F68A5" w14:textId="77777777" w:rsidR="00D462FB" w:rsidRPr="00112BF9" w:rsidRDefault="008B3ECF">
      <w:pPr>
        <w:keepNext/>
        <w:widowControl w:val="0"/>
        <w:pBdr>
          <w:top w:val="nil"/>
          <w:left w:val="nil"/>
          <w:bottom w:val="nil"/>
          <w:right w:val="nil"/>
          <w:between w:val="nil"/>
        </w:pBdr>
        <w:tabs>
          <w:tab w:val="left" w:pos="426"/>
        </w:tabs>
        <w:spacing w:line="240" w:lineRule="auto"/>
        <w:ind w:left="0" w:right="-1220" w:hanging="2"/>
        <w:jc w:val="center"/>
        <w:rPr>
          <w:rFonts w:ascii="Titillium" w:eastAsia="Arial" w:hAnsi="Titillium" w:cs="Arial"/>
          <w:color w:val="000000"/>
          <w:sz w:val="21"/>
          <w:szCs w:val="21"/>
          <w:highlight w:val="whit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Composizione societaria</w:t>
      </w:r>
    </w:p>
    <w:p w14:paraId="333E533D" w14:textId="77777777" w:rsidR="00D462FB" w:rsidRPr="00112BF9" w:rsidRDefault="008B3ECF">
      <w:pPr>
        <w:keepNext/>
        <w:widowControl w:val="0"/>
        <w:pBdr>
          <w:top w:val="nil"/>
          <w:left w:val="nil"/>
          <w:bottom w:val="nil"/>
          <w:right w:val="nil"/>
          <w:between w:val="nil"/>
        </w:pBdr>
        <w:tabs>
          <w:tab w:val="left" w:pos="426"/>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L'IMPRESA si impegna a comunicare all'INAF le eventuali variazioni nella composizione societaria di entità superiore al 2% (due per cento) rispetto a quanto comunicato al momento della stipula del Contratto, ai sensi e per gli effetti di quanto stabilito dal DPCM numero 187/1991. L’inosservanza di tale obbligo determina la risoluzione di diritto del Contratto, salvo il </w:t>
      </w:r>
      <w:r w:rsidRPr="00112BF9">
        <w:rPr>
          <w:rFonts w:ascii="Titillium" w:eastAsia="Arial" w:hAnsi="Titillium" w:cs="Arial"/>
          <w:color w:val="000000"/>
          <w:sz w:val="21"/>
          <w:szCs w:val="21"/>
          <w:highlight w:val="white"/>
        </w:rPr>
        <w:lastRenderedPageBreak/>
        <w:t>risarcimento degli eventuali danni subiti dall’INAF.</w:t>
      </w:r>
    </w:p>
    <w:p w14:paraId="790C2811" w14:textId="77777777" w:rsidR="00D462FB" w:rsidRPr="00112BF9" w:rsidRDefault="00D462FB">
      <w:pPr>
        <w:keepNext/>
        <w:widowControl w:val="0"/>
        <w:pBdr>
          <w:top w:val="nil"/>
          <w:left w:val="nil"/>
          <w:bottom w:val="nil"/>
          <w:right w:val="nil"/>
          <w:between w:val="nil"/>
        </w:pBdr>
        <w:tabs>
          <w:tab w:val="left" w:pos="426"/>
        </w:tabs>
        <w:spacing w:line="240" w:lineRule="auto"/>
        <w:ind w:left="0" w:right="-1220" w:hanging="2"/>
        <w:jc w:val="both"/>
        <w:rPr>
          <w:rFonts w:ascii="Titillium" w:eastAsia="Arial" w:hAnsi="Titillium" w:cs="Arial"/>
          <w:color w:val="000000"/>
          <w:sz w:val="21"/>
          <w:szCs w:val="21"/>
          <w:highlight w:val="white"/>
        </w:rPr>
      </w:pPr>
    </w:p>
    <w:p w14:paraId="626A1D5E" w14:textId="77777777" w:rsidR="00D462FB" w:rsidRPr="00112BF9" w:rsidRDefault="008B3ECF">
      <w:pPr>
        <w:keepNext/>
        <w:widowControl w:val="0"/>
        <w:pBdr>
          <w:top w:val="nil"/>
          <w:left w:val="nil"/>
          <w:bottom w:val="nil"/>
          <w:right w:val="nil"/>
          <w:between w:val="nil"/>
        </w:pBdr>
        <w:spacing w:line="240" w:lineRule="auto"/>
        <w:ind w:left="0" w:right="-1220" w:hanging="2"/>
        <w:jc w:val="center"/>
        <w:rPr>
          <w:rFonts w:ascii="Titillium" w:eastAsia="Arial" w:hAnsi="Titillium" w:cs="Arial"/>
          <w:color w:val="000000"/>
          <w:sz w:val="21"/>
          <w:szCs w:val="21"/>
          <w:highlight w:val="white"/>
        </w:rPr>
      </w:pPr>
      <w:r w:rsidRPr="00112BF9">
        <w:rPr>
          <w:rFonts w:ascii="Titillium" w:eastAsia="Arial" w:hAnsi="Titillium" w:cs="Arial"/>
          <w:b/>
          <w:color w:val="000000"/>
          <w:sz w:val="21"/>
          <w:szCs w:val="21"/>
          <w:highlight w:val="white"/>
          <w:u w:val="single"/>
        </w:rPr>
        <w:t>Art. Risoluzione e recesso</w:t>
      </w:r>
    </w:p>
    <w:p w14:paraId="1BF58F78" w14:textId="77777777" w:rsidR="00D462FB" w:rsidRPr="00112BF9" w:rsidRDefault="008B3ECF">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 L'INAF si riserva il diritto di risolvere il presente Contratto, ai sensi e per gli effetti dell'art. 1456 del Codice Civile con comunicazione scritta da inviarsi con raccomandata con avviso di ricevimento (a/r) o mediante posta elettronica certificata (PEC), con un preavviso di 20 (venti) giorni, nei seguenti casi:</w:t>
      </w:r>
    </w:p>
    <w:p w14:paraId="368DACC9" w14:textId="77777777" w:rsidR="00D462FB" w:rsidRPr="00112BF9" w:rsidRDefault="008B3ECF">
      <w:pPr>
        <w:numPr>
          <w:ilvl w:val="1"/>
          <w:numId w:val="12"/>
        </w:numPr>
        <w:pBdr>
          <w:top w:val="nil"/>
          <w:left w:val="nil"/>
          <w:bottom w:val="nil"/>
          <w:right w:val="nil"/>
          <w:between w:val="nil"/>
        </w:pBdr>
        <w:tabs>
          <w:tab w:val="left" w:pos="284"/>
          <w:tab w:val="left" w:pos="426"/>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 reiterati e aggravati inadempimenti imputabili all’IMPRESA, comprovati da almeno 3 (tre) documenti di contestazione ufficiale;</w:t>
      </w:r>
    </w:p>
    <w:p w14:paraId="742A6BB7" w14:textId="77777777" w:rsidR="00D462FB" w:rsidRPr="00112BF9" w:rsidRDefault="008B3ECF">
      <w:pPr>
        <w:numPr>
          <w:ilvl w:val="1"/>
          <w:numId w:val="12"/>
        </w:numPr>
        <w:pBdr>
          <w:top w:val="nil"/>
          <w:left w:val="nil"/>
          <w:bottom w:val="nil"/>
          <w:right w:val="nil"/>
          <w:between w:val="nil"/>
        </w:pBdr>
        <w:tabs>
          <w:tab w:val="left" w:pos="284"/>
          <w:tab w:val="left" w:pos="426"/>
        </w:tabs>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qualora nei confronti dell’appaltatore sia intervenuta l’emanazione di un provvedimento definitivo che dispone l’applicazione di una o più misure di prevenzione di cui all’art. 67 e seguenti del D.lgs. numero 159/2011 e successive modifiche ed integrazioni, ovvero sia intervenuta sentenza di condanna passata in giudicato per frodi nei riguardi della Stazione Appaltante, di subcontraenti, di subappaltatori, di fornitori, di lavoratori o di altri soggetti comunque interessati all’appalto, nonché per violazioni gravi degli obblighi attinenti alla sicurezza sul lavoro; </w:t>
      </w:r>
    </w:p>
    <w:p w14:paraId="1A733D60" w14:textId="77777777" w:rsidR="00D462FB" w:rsidRPr="00112BF9" w:rsidRDefault="008B3ECF">
      <w:pPr>
        <w:keepNext/>
        <w:widowControl w:val="0"/>
        <w:numPr>
          <w:ilvl w:val="1"/>
          <w:numId w:val="12"/>
        </w:numPr>
        <w:pBdr>
          <w:top w:val="nil"/>
          <w:left w:val="nil"/>
          <w:bottom w:val="nil"/>
          <w:right w:val="nil"/>
          <w:between w:val="nil"/>
        </w:pBdr>
        <w:spacing w:line="240" w:lineRule="auto"/>
        <w:ind w:left="0" w:right="-1220" w:hanging="2"/>
        <w:jc w:val="both"/>
        <w:rPr>
          <w:rFonts w:ascii="Titillium" w:eastAsia="Arial" w:hAnsi="Titillium" w:cs="Arial"/>
          <w:color w:val="FF0000"/>
          <w:sz w:val="21"/>
          <w:szCs w:val="21"/>
          <w:highlight w:val="white"/>
        </w:rPr>
      </w:pPr>
      <w:r w:rsidRPr="00112BF9">
        <w:rPr>
          <w:rFonts w:ascii="Titillium" w:eastAsia="Arial" w:hAnsi="Titillium" w:cs="Arial"/>
          <w:color w:val="000000"/>
          <w:sz w:val="21"/>
          <w:szCs w:val="21"/>
          <w:highlight w:val="white"/>
        </w:rPr>
        <w:t xml:space="preserve">per l’intervenuto accertamento in via definitiva di violazioni gravi alla normativa previdenziale ed assicurativa, nonché al pagamento di imposte e tasse. Restano in ogni caso impregiudicati i diritti dell’INAF al risarcimento di eventuali ulteriori danni e all’incameramento della garanzia fideiussoria. </w:t>
      </w:r>
    </w:p>
    <w:p w14:paraId="520642F2" w14:textId="77777777" w:rsidR="00D462FB" w:rsidRPr="00112BF9" w:rsidRDefault="008B3ECF">
      <w:pPr>
        <w:keepNext/>
        <w:widowControl w:val="0"/>
        <w:pBdr>
          <w:top w:val="nil"/>
          <w:left w:val="nil"/>
          <w:bottom w:val="nil"/>
          <w:right w:val="nil"/>
          <w:between w:val="nil"/>
        </w:pBdr>
        <w:spacing w:line="240" w:lineRule="auto"/>
        <w:ind w:left="0" w:right="-1220" w:hanging="2"/>
        <w:jc w:val="both"/>
        <w:rPr>
          <w:rFonts w:ascii="Titillium" w:eastAsia="Arial" w:hAnsi="Titillium" w:cs="Arial"/>
          <w:sz w:val="21"/>
          <w:szCs w:val="21"/>
          <w:highlight w:val="white"/>
        </w:rPr>
      </w:pPr>
      <w:r w:rsidRPr="00112BF9">
        <w:rPr>
          <w:rFonts w:ascii="Titillium" w:eastAsia="Arial" w:hAnsi="Titillium" w:cs="Arial"/>
          <w:color w:val="000000"/>
          <w:sz w:val="21"/>
          <w:szCs w:val="21"/>
          <w:highlight w:val="white"/>
        </w:rPr>
        <w:t xml:space="preserve">L’INAF si riserva la facoltà di risolvere il contratto </w:t>
      </w:r>
      <w:r w:rsidRPr="00112BF9">
        <w:rPr>
          <w:rFonts w:ascii="Titillium" w:eastAsia="Arial" w:hAnsi="Titillium" w:cs="Arial"/>
          <w:sz w:val="21"/>
          <w:szCs w:val="21"/>
          <w:highlight w:val="white"/>
        </w:rPr>
        <w:t>in tutti gli altri cassi previsti dalla legge.</w:t>
      </w:r>
    </w:p>
    <w:p w14:paraId="55432B29" w14:textId="77777777" w:rsidR="00D462FB" w:rsidRPr="00112BF9" w:rsidRDefault="008B3ECF">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 L'INAF si riserva, inoltre, il diritto di recedere unilateralmente dal Contratto in qualsiasi momento senza alcun onere a suo carico, con un preavviso di almeno 20 (venti) giorni solari, da comunicarsi all'IMPRESA mediante raccomandata con avviso di ricevimento (a/r) o mediante posta elettronica certificata (PEC). In caso di recesso all'IMPRESA, spetterà il corrispettivo </w:t>
      </w:r>
      <w:r w:rsidRPr="00112BF9">
        <w:rPr>
          <w:rFonts w:ascii="Titillium" w:eastAsia="Arial" w:hAnsi="Titillium" w:cs="Arial"/>
          <w:sz w:val="21"/>
          <w:szCs w:val="21"/>
          <w:highlight w:val="white"/>
        </w:rPr>
        <w:t>nei limiti di quanto stabilito dalle norme di legge</w:t>
      </w:r>
      <w:r w:rsidRPr="00112BF9">
        <w:rPr>
          <w:rFonts w:ascii="Titillium" w:eastAsia="Arial" w:hAnsi="Titillium" w:cs="Arial"/>
          <w:color w:val="000000"/>
          <w:sz w:val="21"/>
          <w:szCs w:val="21"/>
          <w:highlight w:val="white"/>
        </w:rPr>
        <w:t xml:space="preserve">. </w:t>
      </w:r>
    </w:p>
    <w:p w14:paraId="0CDB974B" w14:textId="77777777" w:rsidR="00D462FB" w:rsidRPr="00112BF9" w:rsidRDefault="00D462FB">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FF0000"/>
          <w:sz w:val="21"/>
          <w:szCs w:val="21"/>
          <w:highlight w:val="white"/>
        </w:rPr>
      </w:pPr>
    </w:p>
    <w:p w14:paraId="5F47D217" w14:textId="77777777" w:rsidR="00D462FB" w:rsidRPr="00112BF9" w:rsidRDefault="008B3ECF">
      <w:pPr>
        <w:keepNext/>
        <w:widowControl w:val="0"/>
        <w:pBdr>
          <w:top w:val="nil"/>
          <w:left w:val="nil"/>
          <w:bottom w:val="nil"/>
          <w:right w:val="nil"/>
          <w:between w:val="nil"/>
        </w:pBdr>
        <w:spacing w:line="240" w:lineRule="auto"/>
        <w:ind w:left="0" w:right="-1220" w:hanging="2"/>
        <w:jc w:val="center"/>
        <w:rPr>
          <w:rFonts w:ascii="Titillium" w:eastAsia="Arial" w:hAnsi="Titillium" w:cs="Arial"/>
          <w:color w:val="000000"/>
          <w:sz w:val="21"/>
          <w:szCs w:val="21"/>
          <w:highlight w:val="whit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Foro competente</w:t>
      </w:r>
      <w:r w:rsidRPr="00112BF9">
        <w:rPr>
          <w:rFonts w:ascii="Titillium" w:eastAsia="Arial" w:hAnsi="Titillium" w:cs="Arial"/>
          <w:color w:val="000000"/>
          <w:sz w:val="21"/>
          <w:szCs w:val="21"/>
          <w:highlight w:val="white"/>
        </w:rPr>
        <w:t xml:space="preserve"> </w:t>
      </w:r>
    </w:p>
    <w:p w14:paraId="61539EE2" w14:textId="77777777" w:rsidR="00D462FB" w:rsidRPr="00112BF9" w:rsidRDefault="008B3ECF">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Per qualunque controversia diretta o indiretta in ordine all’interpretazione o all’esecuzione del presente Contratto è competente, in via esclusiva, il Foro di Roma.</w:t>
      </w:r>
    </w:p>
    <w:p w14:paraId="60033ED5" w14:textId="77777777" w:rsidR="00D462FB" w:rsidRPr="00112BF9" w:rsidRDefault="00D462FB">
      <w:pPr>
        <w:keepNext/>
        <w:widowControl w:val="0"/>
        <w:pBdr>
          <w:top w:val="nil"/>
          <w:left w:val="nil"/>
          <w:bottom w:val="nil"/>
          <w:right w:val="nil"/>
          <w:between w:val="nil"/>
        </w:pBdr>
        <w:spacing w:line="240" w:lineRule="auto"/>
        <w:ind w:left="0" w:right="-1220" w:hanging="2"/>
        <w:jc w:val="both"/>
        <w:rPr>
          <w:rFonts w:ascii="Titillium" w:eastAsia="Arial" w:hAnsi="Titillium" w:cs="Arial"/>
          <w:sz w:val="21"/>
          <w:szCs w:val="21"/>
          <w:highlight w:val="white"/>
        </w:rPr>
      </w:pPr>
    </w:p>
    <w:p w14:paraId="778E5F72" w14:textId="77777777" w:rsidR="00D462FB" w:rsidRPr="00112BF9" w:rsidRDefault="00D462FB">
      <w:pPr>
        <w:keepNext/>
        <w:widowControl w:val="0"/>
        <w:pBdr>
          <w:top w:val="nil"/>
          <w:left w:val="nil"/>
          <w:bottom w:val="nil"/>
          <w:right w:val="nil"/>
          <w:between w:val="nil"/>
        </w:pBdr>
        <w:spacing w:line="240" w:lineRule="auto"/>
        <w:ind w:left="0" w:right="-1220" w:hanging="2"/>
        <w:jc w:val="both"/>
        <w:rPr>
          <w:rFonts w:ascii="Titillium" w:eastAsia="Arial" w:hAnsi="Titillium" w:cs="Arial"/>
          <w:sz w:val="21"/>
          <w:szCs w:val="21"/>
          <w:highlight w:val="white"/>
        </w:rPr>
      </w:pPr>
    </w:p>
    <w:p w14:paraId="2BF09219" w14:textId="77777777" w:rsidR="00D462FB" w:rsidRPr="00112BF9" w:rsidRDefault="008B3ECF">
      <w:pPr>
        <w:pBdr>
          <w:top w:val="nil"/>
          <w:left w:val="nil"/>
          <w:bottom w:val="nil"/>
          <w:right w:val="nil"/>
          <w:between w:val="nil"/>
        </w:pBdr>
        <w:spacing w:line="240" w:lineRule="auto"/>
        <w:ind w:left="0" w:right="-1220" w:hanging="2"/>
        <w:jc w:val="center"/>
        <w:rPr>
          <w:rFonts w:ascii="Titillium" w:eastAsia="Arial" w:hAnsi="Titillium" w:cs="Arial"/>
          <w:color w:val="000000"/>
          <w:sz w:val="21"/>
          <w:szCs w:val="21"/>
          <w:highlight w:val="whit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Spese contrattuali</w:t>
      </w:r>
    </w:p>
    <w:p w14:paraId="4721A252" w14:textId="77777777" w:rsidR="00D462FB" w:rsidRPr="00112BF9" w:rsidRDefault="008B3ECF">
      <w:p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Sono a carico dell’IMPRESA tutti gli oneri tributari e le spese contrattuali ivi comprese le spese relative all’imposta di bollo. Le spese per la registrazione, in caso d’uso, saranno a carico della parte richiedente. L’IVA nella misura di legge è a carico dell’INAF. Il presente Contratto è stipulato nella forma della scrittura privata, soggetta a registrazione in caso d’uso ai sensi dell’art. 5 del D.P.R. numero 131/86 e successive modifiche ed integrazioni.</w:t>
      </w:r>
    </w:p>
    <w:p w14:paraId="705D0A70" w14:textId="77777777" w:rsidR="00D462FB" w:rsidRPr="00112BF9" w:rsidRDefault="00D462FB">
      <w:pPr>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p>
    <w:p w14:paraId="3C66650C" w14:textId="7113DA29" w:rsidR="00D462FB" w:rsidRPr="00112BF9" w:rsidRDefault="008B3ECF">
      <w:pPr>
        <w:keepNext/>
        <w:widowControl w:val="0"/>
        <w:pBdr>
          <w:top w:val="nil"/>
          <w:left w:val="nil"/>
          <w:bottom w:val="nil"/>
          <w:right w:val="nil"/>
          <w:between w:val="nil"/>
        </w:pBdr>
        <w:spacing w:line="240" w:lineRule="auto"/>
        <w:ind w:left="0" w:right="-1220" w:hanging="2"/>
        <w:jc w:val="center"/>
        <w:rPr>
          <w:rFonts w:ascii="Titillium" w:eastAsia="Arial" w:hAnsi="Titillium" w:cs="Arial"/>
          <w:color w:val="000000"/>
          <w:sz w:val="21"/>
          <w:szCs w:val="21"/>
          <w:highlight w:val="whit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Esecuzione del contratto</w:t>
      </w:r>
    </w:p>
    <w:p w14:paraId="3F3F48AA" w14:textId="7AD3FBA3" w:rsidR="00D462FB" w:rsidRPr="00112BF9" w:rsidRDefault="008B3ECF" w:rsidP="0050615E">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La funzione di Responsabile Unico del Procedimento (RUP) è affidata a</w:t>
      </w:r>
      <w:r w:rsidR="0050615E" w:rsidRPr="00112BF9">
        <w:rPr>
          <w:rFonts w:ascii="Titillium" w:eastAsia="Arial" w:hAnsi="Titillium" w:cs="Arial"/>
          <w:color w:val="000000"/>
          <w:sz w:val="21"/>
          <w:szCs w:val="21"/>
          <w:highlight w:val="white"/>
        </w:rPr>
        <w:t xml:space="preserve">l Dottore Ettore Del Monte, </w:t>
      </w:r>
      <w:r w:rsidRPr="00112BF9">
        <w:rPr>
          <w:rFonts w:ascii="Titillium" w:eastAsia="Arial" w:hAnsi="Titillium" w:cs="Arial"/>
          <w:color w:val="000000"/>
          <w:sz w:val="21"/>
          <w:szCs w:val="21"/>
          <w:highlight w:val="white"/>
        </w:rPr>
        <w:t xml:space="preserve">dipendente dell’INAF  presso </w:t>
      </w:r>
      <w:r w:rsidR="0050615E" w:rsidRPr="00112BF9">
        <w:rPr>
          <w:rFonts w:ascii="Titillium" w:eastAsia="Arial" w:hAnsi="Titillium" w:cs="Arial"/>
          <w:color w:val="000000"/>
          <w:sz w:val="21"/>
          <w:szCs w:val="21"/>
          <w:highlight w:val="white"/>
        </w:rPr>
        <w:t>lo IAPS.</w:t>
      </w:r>
      <w:r w:rsidRPr="00112BF9">
        <w:rPr>
          <w:rFonts w:ascii="Titillium" w:eastAsia="Arial" w:hAnsi="Titillium" w:cs="Arial"/>
          <w:color w:val="000000"/>
          <w:sz w:val="21"/>
          <w:szCs w:val="21"/>
          <w:highlight w:val="white"/>
        </w:rPr>
        <w:t xml:space="preserve"> La funzione di Direttore dell’Esecuzione del Contratto (DEC) è affidata al Dott</w:t>
      </w:r>
      <w:r w:rsidR="0050615E" w:rsidRPr="00112BF9">
        <w:rPr>
          <w:rFonts w:ascii="Titillium" w:eastAsia="Arial" w:hAnsi="Titillium" w:cs="Arial"/>
          <w:color w:val="000000"/>
          <w:sz w:val="21"/>
          <w:szCs w:val="21"/>
          <w:highlight w:val="white"/>
        </w:rPr>
        <w:t>ore</w:t>
      </w:r>
      <w:r w:rsidRPr="00112BF9">
        <w:rPr>
          <w:rFonts w:ascii="Titillium" w:eastAsia="Arial" w:hAnsi="Titillium" w:cs="Arial"/>
          <w:color w:val="000000"/>
          <w:sz w:val="21"/>
          <w:szCs w:val="21"/>
          <w:highlight w:val="white"/>
        </w:rPr>
        <w:t xml:space="preserve"> </w:t>
      </w:r>
      <w:r w:rsidR="0050615E" w:rsidRPr="00112BF9">
        <w:rPr>
          <w:rFonts w:ascii="Titillium" w:eastAsia="Arial" w:hAnsi="Titillium" w:cs="Arial"/>
          <w:color w:val="000000"/>
          <w:sz w:val="21"/>
          <w:szCs w:val="21"/>
          <w:highlight w:val="white"/>
        </w:rPr>
        <w:t xml:space="preserve">Ettore Del Monte ed al Dottore Yuri Evangelista </w:t>
      </w:r>
      <w:r w:rsidRPr="00112BF9">
        <w:rPr>
          <w:rFonts w:ascii="Titillium" w:eastAsia="Arial" w:hAnsi="Titillium" w:cs="Arial"/>
          <w:color w:val="000000"/>
          <w:sz w:val="21"/>
          <w:szCs w:val="21"/>
          <w:highlight w:val="white"/>
        </w:rPr>
        <w:t>dipendente dell’INAF presso</w:t>
      </w:r>
      <w:r w:rsidR="0050615E" w:rsidRPr="00112BF9">
        <w:rPr>
          <w:rFonts w:ascii="Titillium" w:eastAsia="Arial" w:hAnsi="Titillium" w:cs="Arial"/>
          <w:color w:val="000000"/>
          <w:sz w:val="21"/>
          <w:szCs w:val="21"/>
          <w:highlight w:val="white"/>
        </w:rPr>
        <w:t xml:space="preserve"> lo IAPS.</w:t>
      </w:r>
    </w:p>
    <w:p w14:paraId="377AD943" w14:textId="77777777" w:rsidR="00D462FB" w:rsidRPr="00112BF9" w:rsidRDefault="00D462FB" w:rsidP="0050615E">
      <w:pPr>
        <w:widowControl w:val="0"/>
        <w:pBdr>
          <w:top w:val="nil"/>
          <w:left w:val="nil"/>
          <w:bottom w:val="nil"/>
          <w:right w:val="nil"/>
          <w:between w:val="nil"/>
        </w:pBdr>
        <w:shd w:val="clear" w:color="auto" w:fill="FFFFFF"/>
        <w:spacing w:line="240" w:lineRule="auto"/>
        <w:ind w:leftChars="0" w:left="0" w:right="-1220" w:firstLineChars="0" w:firstLine="0"/>
        <w:rPr>
          <w:rFonts w:ascii="Titillium" w:eastAsia="Arial" w:hAnsi="Titillium" w:cs="Arial"/>
          <w:sz w:val="21"/>
          <w:szCs w:val="21"/>
          <w:highlight w:val="white"/>
        </w:rPr>
      </w:pPr>
    </w:p>
    <w:p w14:paraId="7EEDAE76" w14:textId="77777777" w:rsidR="00D462FB" w:rsidRPr="00112BF9" w:rsidRDefault="008B3ECF">
      <w:pPr>
        <w:widowControl w:val="0"/>
        <w:pBdr>
          <w:top w:val="nil"/>
          <w:left w:val="nil"/>
          <w:bottom w:val="nil"/>
          <w:right w:val="nil"/>
          <w:between w:val="nil"/>
        </w:pBdr>
        <w:shd w:val="clear" w:color="auto" w:fill="FFFFFF"/>
        <w:spacing w:line="240" w:lineRule="auto"/>
        <w:ind w:left="0" w:right="-1220" w:hanging="2"/>
        <w:jc w:val="center"/>
        <w:rPr>
          <w:rFonts w:ascii="Titillium" w:eastAsia="Arial" w:hAnsi="Titillium" w:cs="Arial"/>
          <w:sz w:val="21"/>
          <w:szCs w:val="21"/>
          <w:highlight w:val="white"/>
          <w:u w:val="singl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Monitoraggio</w:t>
      </w:r>
    </w:p>
    <w:p w14:paraId="7F4AE956" w14:textId="77777777" w:rsidR="00D462FB" w:rsidRPr="00112BF9" w:rsidRDefault="008B3ECF">
      <w:pPr>
        <w:widowControl w:val="0"/>
        <w:pBdr>
          <w:top w:val="nil"/>
          <w:left w:val="nil"/>
          <w:bottom w:val="nil"/>
          <w:right w:val="nil"/>
          <w:between w:val="nil"/>
        </w:pBdr>
        <w:shd w:val="clear" w:color="auto" w:fill="FFFFFF"/>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L’impresa si </w:t>
      </w:r>
      <w:r w:rsidRPr="00112BF9">
        <w:rPr>
          <w:rFonts w:ascii="Titillium" w:eastAsia="Arial" w:hAnsi="Titillium" w:cs="Arial"/>
          <w:sz w:val="21"/>
          <w:szCs w:val="21"/>
          <w:highlight w:val="white"/>
        </w:rPr>
        <w:t>impegna a raccogliere</w:t>
      </w:r>
      <w:r w:rsidRPr="00112BF9">
        <w:rPr>
          <w:rFonts w:ascii="Titillium" w:eastAsia="Arial" w:hAnsi="Titillium" w:cs="Arial"/>
          <w:color w:val="000000"/>
          <w:sz w:val="21"/>
          <w:szCs w:val="21"/>
          <w:highlight w:val="white"/>
        </w:rPr>
        <w:t xml:space="preserve"> e a trasmettere i dati relativi all’esecuzione procedurale dell’opera, all’esecuzione procedurale, alla realizzazione fisica, e all’esecuzione finanziaria necessari al Soggetto Attuatore ai fini del caricamento sulla piattaforma ReGiS. </w:t>
      </w:r>
    </w:p>
    <w:p w14:paraId="77E68DD6" w14:textId="77777777" w:rsidR="00D462FB" w:rsidRPr="00112BF9" w:rsidRDefault="008B3ECF">
      <w:pPr>
        <w:pBdr>
          <w:top w:val="nil"/>
          <w:left w:val="nil"/>
          <w:bottom w:val="nil"/>
          <w:right w:val="nil"/>
          <w:between w:val="nil"/>
        </w:pBdr>
        <w:shd w:val="clear" w:color="auto" w:fill="FFFFFF"/>
        <w:spacing w:before="280" w:after="280"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L’IMPRESA conserva la relativa documentazione giustificativa su supporti informatici adeguati, al fine di assicurare la completa tracciabilità delle operazioni e la tenuta di </w:t>
      </w:r>
      <w:r w:rsidRPr="00112BF9">
        <w:rPr>
          <w:rFonts w:ascii="Titillium" w:eastAsia="Arial" w:hAnsi="Titillium" w:cs="Arial"/>
          <w:sz w:val="21"/>
          <w:szCs w:val="21"/>
          <w:highlight w:val="white"/>
        </w:rPr>
        <w:t>un'apposita</w:t>
      </w:r>
      <w:r w:rsidRPr="00112BF9">
        <w:rPr>
          <w:rFonts w:ascii="Titillium" w:eastAsia="Arial" w:hAnsi="Titillium" w:cs="Arial"/>
          <w:color w:val="000000"/>
          <w:sz w:val="21"/>
          <w:szCs w:val="21"/>
          <w:highlight w:val="white"/>
        </w:rPr>
        <w:t xml:space="preserve"> codificazione </w:t>
      </w:r>
      <w:r w:rsidRPr="00112BF9">
        <w:rPr>
          <w:rFonts w:ascii="Titillium" w:eastAsia="Arial" w:hAnsi="Titillium" w:cs="Arial"/>
          <w:color w:val="000000"/>
          <w:sz w:val="21"/>
          <w:szCs w:val="21"/>
          <w:highlight w:val="white"/>
        </w:rPr>
        <w:lastRenderedPageBreak/>
        <w:t>contabile separata per l’utilizzo delle risorse Piano Nazionale di Ripresa e Resilienza a norma dell’art.  9 comma 4 del D.L. 77 del 2021.</w:t>
      </w:r>
    </w:p>
    <w:p w14:paraId="62DC45D9" w14:textId="77777777" w:rsidR="00D462FB" w:rsidRPr="00112BF9" w:rsidRDefault="008B3ECF">
      <w:pPr>
        <w:pBdr>
          <w:top w:val="nil"/>
          <w:left w:val="nil"/>
          <w:bottom w:val="nil"/>
          <w:right w:val="nil"/>
          <w:between w:val="nil"/>
        </w:pBdr>
        <w:shd w:val="clear" w:color="auto" w:fill="FFFFFF"/>
        <w:spacing w:line="240" w:lineRule="auto"/>
        <w:ind w:left="0" w:right="-1220" w:hanging="2"/>
        <w:jc w:val="center"/>
        <w:rPr>
          <w:rFonts w:ascii="Titillium" w:eastAsia="Arial" w:hAnsi="Titillium" w:cs="Arial"/>
          <w:sz w:val="21"/>
          <w:szCs w:val="21"/>
          <w:highlight w:val="whit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Informazione e Pubblicità</w:t>
      </w:r>
    </w:p>
    <w:p w14:paraId="37708075" w14:textId="77777777" w:rsidR="00D462FB" w:rsidRPr="00112BF9" w:rsidRDefault="008B3ECF">
      <w:pPr>
        <w:pBdr>
          <w:top w:val="nil"/>
          <w:left w:val="nil"/>
          <w:bottom w:val="nil"/>
          <w:right w:val="nil"/>
          <w:between w:val="nil"/>
        </w:pBdr>
        <w:shd w:val="clear" w:color="auto" w:fill="FFFFFF"/>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Ai sensi dell’articolo 34 del Regolamento (UE) 2021/241, le parti garantiscono adeguata visibilità ai risultati degli investimenti e al finanziamento dell’Unione europea, dando visibilità all’origine del finanziamento:</w:t>
      </w:r>
    </w:p>
    <w:p w14:paraId="71FCCE2F" w14:textId="77777777" w:rsidR="00D462FB" w:rsidRPr="00112BF9" w:rsidRDefault="008B3ECF">
      <w:pPr>
        <w:widowControl w:val="0"/>
        <w:numPr>
          <w:ilvl w:val="0"/>
          <w:numId w:val="2"/>
        </w:numPr>
        <w:pBdr>
          <w:top w:val="nil"/>
          <w:left w:val="nil"/>
          <w:bottom w:val="nil"/>
          <w:right w:val="nil"/>
          <w:between w:val="nil"/>
        </w:pBdr>
        <w:spacing w:after="240"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mostrando correttamente e in modo visibile in tutte le attività di comunicazione a livello di progetto l’emblema dell’UE con un’appropriata dichiarazione di finanziamento che reciti “finanziato dall’Unione europea - NextGenerationEU”;</w:t>
      </w:r>
    </w:p>
    <w:p w14:paraId="0A7EDE6F" w14:textId="77777777" w:rsidR="00D462FB" w:rsidRPr="00112BF9" w:rsidRDefault="008B3ECF">
      <w:pPr>
        <w:widowControl w:val="0"/>
        <w:numPr>
          <w:ilvl w:val="0"/>
          <w:numId w:val="2"/>
        </w:numPr>
        <w:pBdr>
          <w:top w:val="nil"/>
          <w:left w:val="nil"/>
          <w:bottom w:val="nil"/>
          <w:right w:val="nil"/>
          <w:between w:val="nil"/>
        </w:pBdr>
        <w:spacing w:after="240"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garantendo il riconoscimento dell’origine dei fondi da parte dei destinatari finali;</w:t>
      </w:r>
    </w:p>
    <w:p w14:paraId="4027F774" w14:textId="77777777" w:rsidR="00D462FB" w:rsidRPr="00112BF9" w:rsidRDefault="008B3ECF">
      <w:pPr>
        <w:widowControl w:val="0"/>
        <w:numPr>
          <w:ilvl w:val="0"/>
          <w:numId w:val="2"/>
        </w:numPr>
        <w:pBdr>
          <w:top w:val="nil"/>
          <w:left w:val="nil"/>
          <w:bottom w:val="nil"/>
          <w:right w:val="nil"/>
          <w:between w:val="nil"/>
        </w:pBdr>
        <w:spacing w:after="240"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inserendo l’emblema dell’Unione Europea con lo stesso risalto e visibilità degli eventuali altri loghi</w:t>
      </w:r>
    </w:p>
    <w:p w14:paraId="584D00A5" w14:textId="77777777" w:rsidR="00D462FB" w:rsidRPr="00112BF9" w:rsidRDefault="008B3ECF">
      <w:pPr>
        <w:widowControl w:val="0"/>
        <w:numPr>
          <w:ilvl w:val="0"/>
          <w:numId w:val="2"/>
        </w:numPr>
        <w:pBdr>
          <w:top w:val="nil"/>
          <w:left w:val="nil"/>
          <w:bottom w:val="nil"/>
          <w:right w:val="nil"/>
          <w:between w:val="nil"/>
        </w:pBdr>
        <w:spacing w:after="240"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utilizzando nei documenti il seguente disclaimer: “</w:t>
      </w:r>
      <w:r w:rsidRPr="00112BF9">
        <w:rPr>
          <w:rFonts w:ascii="Titillium" w:eastAsia="Arial" w:hAnsi="Titillium" w:cs="Arial"/>
          <w:i/>
          <w:color w:val="000000"/>
          <w:sz w:val="21"/>
          <w:szCs w:val="21"/>
          <w:highlight w:val="white"/>
        </w:rPr>
        <w:t>Finanziato dall'Unione europea - NextGenerationEU. I punti di vista e le opinioni espresse sono tuttavia solo quelli degli autori e non riflettono necessariamente quelli dell'Unione europea o della Commissione europea. Né l'Unione europea né la Commissione europea possono essere ritenute responsabili per essi</w:t>
      </w:r>
      <w:r w:rsidRPr="00112BF9">
        <w:rPr>
          <w:rFonts w:ascii="Titillium" w:eastAsia="Arial" w:hAnsi="Titillium" w:cs="Arial"/>
          <w:color w:val="000000"/>
          <w:sz w:val="21"/>
          <w:szCs w:val="21"/>
          <w:highlight w:val="white"/>
        </w:rPr>
        <w:t>”</w:t>
      </w:r>
    </w:p>
    <w:p w14:paraId="1D1E9C2D" w14:textId="77777777" w:rsidR="00D462FB" w:rsidRPr="00112BF9" w:rsidRDefault="008B3ECF">
      <w:pPr>
        <w:keepNext/>
        <w:widowControl w:val="0"/>
        <w:pBdr>
          <w:top w:val="nil"/>
          <w:left w:val="nil"/>
          <w:bottom w:val="nil"/>
          <w:right w:val="nil"/>
          <w:between w:val="nil"/>
        </w:pBdr>
        <w:spacing w:line="240" w:lineRule="auto"/>
        <w:ind w:left="0" w:right="-1220" w:hanging="2"/>
        <w:jc w:val="center"/>
        <w:rPr>
          <w:rFonts w:ascii="Titillium" w:eastAsia="Arial" w:hAnsi="Titillium" w:cs="Arial"/>
          <w:color w:val="000000"/>
          <w:sz w:val="21"/>
          <w:szCs w:val="21"/>
          <w:highlight w:val="whit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Riservatezza</w:t>
      </w:r>
    </w:p>
    <w:p w14:paraId="3A5A22D8" w14:textId="77777777" w:rsidR="00D462FB" w:rsidRPr="00112BF9" w:rsidRDefault="008B3ECF">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L'IMPRESA ha l'obbligo di mantenere riservati i dati e le informazioni di cui venga in possesso e comunque a conoscenza che siano classificati come tali; di non divulgarli in alcun modo e di non farne oggetto di utilizzazione a qualsiasi titolo per scopi diversi da quelli strettamente necessari all'esecuzione del Contratto. In caso di inosservanza degli obblighi di riservatezza, l'INAF ha la facoltà di dichiarare risolto il Contratto, fermo restando che l'IMPRESA sarà tenuta a risarcire tutti gli ulteriori danni che dovessero derivare all'INAF.</w:t>
      </w:r>
    </w:p>
    <w:p w14:paraId="2EF790A9" w14:textId="77777777" w:rsidR="00D462FB" w:rsidRPr="00112BF9" w:rsidRDefault="00D462FB">
      <w:pPr>
        <w:keepNext/>
        <w:widowControl w:val="0"/>
        <w:pBdr>
          <w:top w:val="nil"/>
          <w:left w:val="nil"/>
          <w:bottom w:val="nil"/>
          <w:right w:val="nil"/>
          <w:between w:val="nil"/>
        </w:pBdr>
        <w:spacing w:line="240" w:lineRule="auto"/>
        <w:ind w:left="0" w:right="-1220" w:hanging="2"/>
        <w:jc w:val="both"/>
        <w:rPr>
          <w:rFonts w:ascii="Titillium" w:eastAsia="Arial" w:hAnsi="Titillium" w:cs="Arial"/>
          <w:sz w:val="21"/>
          <w:szCs w:val="21"/>
          <w:highlight w:val="white"/>
        </w:rPr>
      </w:pPr>
    </w:p>
    <w:p w14:paraId="6A757537" w14:textId="77777777" w:rsidR="00D462FB" w:rsidRPr="00112BF9" w:rsidRDefault="008B3ECF">
      <w:pPr>
        <w:keepNext/>
        <w:widowControl w:val="0"/>
        <w:pBdr>
          <w:top w:val="nil"/>
          <w:left w:val="nil"/>
          <w:bottom w:val="nil"/>
          <w:right w:val="nil"/>
          <w:between w:val="nil"/>
        </w:pBdr>
        <w:spacing w:line="240" w:lineRule="auto"/>
        <w:ind w:left="0" w:right="-1220" w:hanging="2"/>
        <w:jc w:val="center"/>
        <w:rPr>
          <w:rFonts w:ascii="Titillium" w:eastAsia="Arial" w:hAnsi="Titillium" w:cs="Arial"/>
          <w:color w:val="000000"/>
          <w:sz w:val="21"/>
          <w:szCs w:val="21"/>
          <w:highlight w:val="white"/>
        </w:rPr>
      </w:pPr>
      <w:r w:rsidRPr="00112BF9">
        <w:rPr>
          <w:rFonts w:ascii="Titillium" w:eastAsia="Arial" w:hAnsi="Titillium" w:cs="Arial"/>
          <w:b/>
          <w:color w:val="000000"/>
          <w:sz w:val="21"/>
          <w:szCs w:val="21"/>
          <w:highlight w:val="white"/>
        </w:rPr>
        <w:t xml:space="preserve">Art. </w:t>
      </w:r>
      <w:r w:rsidRPr="00112BF9">
        <w:rPr>
          <w:rFonts w:ascii="Titillium" w:eastAsia="Arial" w:hAnsi="Titillium" w:cs="Arial"/>
          <w:b/>
          <w:color w:val="000000"/>
          <w:sz w:val="21"/>
          <w:szCs w:val="21"/>
          <w:highlight w:val="white"/>
          <w:u w:val="single"/>
        </w:rPr>
        <w:t>Trattamento dei Dati</w:t>
      </w:r>
    </w:p>
    <w:p w14:paraId="371EA64F" w14:textId="77777777" w:rsidR="00D462FB" w:rsidRPr="00112BF9" w:rsidRDefault="008B3ECF">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L’IMPRESA dichiara di essere stata informata in merito al trattamento dei dati raccolti in esecuzione del presente contratto e di aver informato ed acquisito, se necessario, il relativo consenso da parte degli interessati i cui dati personali sono forniti nell’ambito e per le finalità dello stesso.  Nell’esecuzione del presente contratto, l’IMPRESA e il proprio personale, in quanto autorizzato al trattamento dei dati personali, si impegna al rispetto delle disposizioni contenute nel Regolamento UE numero 2016/679 e del D. Lgs. 196/03 e successive modifiche ed integrazioni nonché a trattare i soli dati funzionali, necessari e pertinenti all’esecuzione del presente contratto in modo lecito e secondo correttezza, nei limiti dell’oggetto e delle finalità descritte per lo stesso. In caso di designazione a Responsabile del trattamento dei dati, l’IMPRESA si impegna ad accettare l’incarico e ad osservare gli obblighi contenuti nel documento denominato "contratto di designazione a responsabile dei dati" che, una volta sottoscritto, costituirà parte integrante del presente contratto. L’IMPRESA dovrà garantire che i dati personali oggetto di trattamento, verranno gestiti nell’ambito dell’UE e che non sarà effettuato alcun trasferimento degli stessi verso un paese terzo se non alle condizioni previste nel Regolamento.  </w:t>
      </w:r>
    </w:p>
    <w:p w14:paraId="2DDEEAAF" w14:textId="77777777" w:rsidR="00D462FB" w:rsidRPr="00112BF9" w:rsidRDefault="008B3ECF">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Titolare del Trattamento per l’INAF email: </w:t>
      </w:r>
      <w:r w:rsidRPr="00112BF9">
        <w:rPr>
          <w:rFonts w:ascii="Titillium" w:eastAsia="Arial" w:hAnsi="Titillium" w:cs="Arial"/>
          <w:b/>
          <w:color w:val="000000"/>
          <w:sz w:val="21"/>
          <w:szCs w:val="21"/>
          <w:highlight w:val="white"/>
        </w:rPr>
        <w:t>__________-</w:t>
      </w:r>
      <w:r w:rsidRPr="00112BF9">
        <w:rPr>
          <w:rFonts w:ascii="Titillium" w:eastAsia="Arial" w:hAnsi="Titillium" w:cs="Arial"/>
          <w:color w:val="000000"/>
          <w:sz w:val="21"/>
          <w:szCs w:val="21"/>
          <w:highlight w:val="white"/>
        </w:rPr>
        <w:t xml:space="preserve"> Responsabile della Protezione dei Dati: email: </w:t>
      </w:r>
      <w:r w:rsidRPr="00112BF9">
        <w:rPr>
          <w:rFonts w:ascii="Titillium" w:eastAsia="Arial" w:hAnsi="Titillium" w:cs="Arial"/>
          <w:b/>
          <w:color w:val="000000"/>
          <w:sz w:val="21"/>
          <w:szCs w:val="21"/>
          <w:highlight w:val="white"/>
        </w:rPr>
        <w:t>_______________-</w:t>
      </w:r>
      <w:r w:rsidRPr="00112BF9">
        <w:rPr>
          <w:rFonts w:ascii="Titillium" w:eastAsia="Arial" w:hAnsi="Titillium" w:cs="Arial"/>
          <w:color w:val="000000"/>
          <w:sz w:val="21"/>
          <w:szCs w:val="21"/>
          <w:highlight w:val="white"/>
        </w:rPr>
        <w:t xml:space="preserve"> </w:t>
      </w:r>
    </w:p>
    <w:p w14:paraId="5BDE0813" w14:textId="77777777" w:rsidR="00D462FB" w:rsidRPr="00112BF9" w:rsidRDefault="008B3ECF">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Titolare del Trattamento per l’IMPRESA______________________________</w:t>
      </w:r>
    </w:p>
    <w:p w14:paraId="6FE8AC32" w14:textId="77777777" w:rsidR="00D462FB" w:rsidRPr="00112BF9" w:rsidRDefault="008B3ECF">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Responsabile della protezione dei Dati: email:____________-</w:t>
      </w:r>
    </w:p>
    <w:p w14:paraId="4C22FE90" w14:textId="77777777" w:rsidR="00D462FB" w:rsidRPr="00112BF9" w:rsidRDefault="00D462FB">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p>
    <w:p w14:paraId="758CB2A6" w14:textId="77777777" w:rsidR="00D462FB" w:rsidRPr="00112BF9" w:rsidRDefault="008B3ECF">
      <w:pPr>
        <w:widowControl w:val="0"/>
        <w:pBdr>
          <w:top w:val="nil"/>
          <w:left w:val="nil"/>
          <w:bottom w:val="nil"/>
          <w:right w:val="nil"/>
          <w:between w:val="nil"/>
        </w:pBdr>
        <w:spacing w:line="240" w:lineRule="auto"/>
        <w:ind w:left="0" w:right="-1220" w:hanging="2"/>
        <w:jc w:val="center"/>
        <w:rPr>
          <w:rFonts w:ascii="Titillium" w:eastAsia="Arial" w:hAnsi="Titillium" w:cs="Arial"/>
          <w:color w:val="000000"/>
          <w:sz w:val="21"/>
          <w:szCs w:val="21"/>
          <w:highlight w:val="white"/>
        </w:rPr>
      </w:pPr>
      <w:r w:rsidRPr="00112BF9">
        <w:rPr>
          <w:rFonts w:ascii="Titillium" w:eastAsia="Arial" w:hAnsi="Titillium" w:cs="Arial"/>
          <w:b/>
          <w:color w:val="000000"/>
          <w:sz w:val="21"/>
          <w:szCs w:val="21"/>
          <w:highlight w:val="white"/>
        </w:rPr>
        <w:t xml:space="preserve">Art. - </w:t>
      </w:r>
      <w:r w:rsidRPr="00112BF9">
        <w:rPr>
          <w:rFonts w:ascii="Titillium" w:eastAsia="Arial" w:hAnsi="Titillium" w:cs="Arial"/>
          <w:b/>
          <w:color w:val="000000"/>
          <w:sz w:val="21"/>
          <w:szCs w:val="21"/>
          <w:highlight w:val="white"/>
          <w:u w:val="single"/>
        </w:rPr>
        <w:t>Efficacia del contratto</w:t>
      </w:r>
    </w:p>
    <w:p w14:paraId="31AE906D" w14:textId="77777777" w:rsidR="00D462FB" w:rsidRPr="00112BF9" w:rsidRDefault="008B3ECF">
      <w:pPr>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 Il presente Contratto viene sottoscritto digitalmente ad unico effetto. È impegnativo per l’IMPRESA sin dalla data di sottoscrizione, ma diventerà impegnativo per l'INAF solo dopo la </w:t>
      </w:r>
      <w:r w:rsidRPr="00112BF9">
        <w:rPr>
          <w:rFonts w:ascii="Titillium" w:eastAsia="Arial" w:hAnsi="Titillium" w:cs="Arial"/>
          <w:color w:val="000000"/>
          <w:sz w:val="21"/>
          <w:szCs w:val="21"/>
          <w:highlight w:val="white"/>
        </w:rPr>
        <w:lastRenderedPageBreak/>
        <w:t>sottoscrizione da parte del suo Legale Rappresentante. Le Parti contraenti, prima di sottoscrivere il presente Contratto, lo dichiarano conforme alla propria volontà.</w:t>
      </w:r>
    </w:p>
    <w:p w14:paraId="10E784D6" w14:textId="77777777" w:rsidR="00D462FB" w:rsidRPr="00112BF9" w:rsidRDefault="00D462FB">
      <w:pPr>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p>
    <w:p w14:paraId="1CDFB40D" w14:textId="77777777" w:rsidR="00D462FB" w:rsidRPr="00112BF9" w:rsidRDefault="008B3ECF">
      <w:pPr>
        <w:widowControl w:val="0"/>
        <w:pBdr>
          <w:top w:val="nil"/>
          <w:left w:val="nil"/>
          <w:bottom w:val="nil"/>
          <w:right w:val="nil"/>
          <w:between w:val="nil"/>
        </w:pBdr>
        <w:spacing w:line="240" w:lineRule="auto"/>
        <w:ind w:left="0" w:right="-1220" w:hanging="2"/>
        <w:jc w:val="right"/>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     Sig. _____________--</w:t>
      </w:r>
      <w:r w:rsidRPr="00112BF9">
        <w:rPr>
          <w:rFonts w:ascii="Titillium" w:eastAsia="Arial" w:hAnsi="Titillium" w:cs="Arial"/>
          <w:color w:val="000000"/>
          <w:sz w:val="21"/>
          <w:szCs w:val="21"/>
          <w:highlight w:val="white"/>
        </w:rPr>
        <w:tab/>
      </w:r>
    </w:p>
    <w:p w14:paraId="4D0B13F0" w14:textId="77777777" w:rsidR="00D462FB" w:rsidRPr="00112BF9" w:rsidRDefault="00D462FB">
      <w:pPr>
        <w:widowControl w:val="0"/>
        <w:pBdr>
          <w:top w:val="nil"/>
          <w:left w:val="nil"/>
          <w:bottom w:val="nil"/>
          <w:right w:val="nil"/>
          <w:between w:val="nil"/>
        </w:pBdr>
        <w:spacing w:line="240" w:lineRule="auto"/>
        <w:ind w:left="0" w:right="-1220" w:hanging="2"/>
        <w:jc w:val="both"/>
        <w:rPr>
          <w:rFonts w:ascii="Titillium" w:eastAsia="Arial" w:hAnsi="Titillium" w:cs="Arial"/>
          <w:sz w:val="21"/>
          <w:szCs w:val="21"/>
          <w:highlight w:val="white"/>
        </w:rPr>
      </w:pPr>
    </w:p>
    <w:p w14:paraId="3D08C763" w14:textId="77777777" w:rsidR="00D462FB" w:rsidRPr="00112BF9" w:rsidRDefault="008B3ECF">
      <w:pPr>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ab/>
      </w:r>
      <w:r w:rsidRPr="00112BF9">
        <w:rPr>
          <w:rFonts w:ascii="Titillium" w:eastAsia="Arial" w:hAnsi="Titillium" w:cs="Arial"/>
          <w:color w:val="000000"/>
          <w:sz w:val="21"/>
          <w:szCs w:val="21"/>
          <w:highlight w:val="white"/>
        </w:rPr>
        <w:tab/>
      </w:r>
      <w:r w:rsidRPr="00112BF9">
        <w:rPr>
          <w:rFonts w:ascii="Titillium" w:eastAsia="Arial" w:hAnsi="Titillium" w:cs="Arial"/>
          <w:color w:val="000000"/>
          <w:sz w:val="21"/>
          <w:szCs w:val="21"/>
          <w:highlight w:val="white"/>
        </w:rPr>
        <w:tab/>
        <w:t xml:space="preserve">        </w:t>
      </w:r>
    </w:p>
    <w:p w14:paraId="14D5FBB5" w14:textId="77777777" w:rsidR="00D462FB" w:rsidRPr="00112BF9" w:rsidRDefault="008B3ECF">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Ai sensi e per gli effetti di cui all’art. 1341 del Codice Civile, l’IMPRESA dichiara di accettare tutte le condizioni e i patti contenuti nel presente contratto. In particolare dichiara di approvare espressamente i seguenti articoli:</w:t>
      </w:r>
    </w:p>
    <w:p w14:paraId="702600F4" w14:textId="77777777" w:rsidR="00D462FB" w:rsidRPr="00112BF9" w:rsidRDefault="00D462FB">
      <w:pPr>
        <w:keepNext/>
        <w:widowControl w:val="0"/>
        <w:pBdr>
          <w:top w:val="nil"/>
          <w:left w:val="nil"/>
          <w:bottom w:val="nil"/>
          <w:right w:val="nil"/>
          <w:between w:val="nil"/>
        </w:pBdr>
        <w:spacing w:line="240" w:lineRule="auto"/>
        <w:ind w:left="0" w:right="-1220" w:hanging="2"/>
        <w:jc w:val="both"/>
        <w:rPr>
          <w:rFonts w:ascii="Titillium" w:eastAsia="Arial" w:hAnsi="Titillium" w:cs="Arial"/>
          <w:sz w:val="21"/>
          <w:szCs w:val="21"/>
          <w:highlight w:val="white"/>
        </w:rPr>
      </w:pPr>
    </w:p>
    <w:p w14:paraId="7CFF854D" w14:textId="77777777" w:rsidR="00D462FB" w:rsidRPr="00112BF9" w:rsidRDefault="008B3ECF">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 - Penali;</w:t>
      </w:r>
    </w:p>
    <w:p w14:paraId="71A9D421" w14:textId="77777777" w:rsidR="00D462FB" w:rsidRPr="00112BF9" w:rsidRDefault="008B3ECF">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Verifica di conformità, fatturazione e pagamenti;</w:t>
      </w:r>
    </w:p>
    <w:p w14:paraId="1B3BEB41" w14:textId="77777777" w:rsidR="00D462FB" w:rsidRPr="00112BF9" w:rsidRDefault="008B3ECF">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xml:space="preserve"> - Risoluzione e recesso;</w:t>
      </w:r>
    </w:p>
    <w:p w14:paraId="64BCDA6D" w14:textId="77777777" w:rsidR="00D462FB" w:rsidRPr="00112BF9" w:rsidRDefault="008B3ECF">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r w:rsidRPr="00112BF9">
        <w:rPr>
          <w:rFonts w:ascii="Titillium" w:eastAsia="Arial" w:hAnsi="Titillium" w:cs="Arial"/>
          <w:color w:val="000000"/>
          <w:sz w:val="21"/>
          <w:szCs w:val="21"/>
          <w:highlight w:val="white"/>
        </w:rPr>
        <w:t>- Foro competente.</w:t>
      </w:r>
    </w:p>
    <w:p w14:paraId="3C14822E" w14:textId="77777777" w:rsidR="00D462FB" w:rsidRPr="00112BF9" w:rsidRDefault="00D462FB">
      <w:pPr>
        <w:keepNext/>
        <w:widowControl w:val="0"/>
        <w:pBdr>
          <w:top w:val="nil"/>
          <w:left w:val="nil"/>
          <w:bottom w:val="nil"/>
          <w:right w:val="nil"/>
          <w:between w:val="nil"/>
        </w:pBdr>
        <w:spacing w:line="240" w:lineRule="auto"/>
        <w:ind w:left="0" w:right="-1220" w:hanging="2"/>
        <w:jc w:val="both"/>
        <w:rPr>
          <w:rFonts w:ascii="Titillium" w:eastAsia="Arial" w:hAnsi="Titillium" w:cs="Arial"/>
          <w:sz w:val="21"/>
          <w:szCs w:val="21"/>
          <w:highlight w:val="white"/>
        </w:rPr>
      </w:pPr>
    </w:p>
    <w:p w14:paraId="79D2FED7" w14:textId="77777777" w:rsidR="00D462FB" w:rsidRPr="00112BF9" w:rsidRDefault="00D462FB">
      <w:pPr>
        <w:keepNext/>
        <w:widowControl w:val="0"/>
        <w:pBdr>
          <w:top w:val="nil"/>
          <w:left w:val="nil"/>
          <w:bottom w:val="nil"/>
          <w:right w:val="nil"/>
          <w:between w:val="nil"/>
        </w:pBdr>
        <w:spacing w:line="240" w:lineRule="auto"/>
        <w:ind w:left="0" w:right="-1220" w:hanging="2"/>
        <w:jc w:val="both"/>
        <w:rPr>
          <w:rFonts w:ascii="Titillium" w:eastAsia="Arial" w:hAnsi="Titillium" w:cs="Arial"/>
          <w:color w:val="000000"/>
          <w:sz w:val="21"/>
          <w:szCs w:val="21"/>
          <w:highlight w:val="white"/>
        </w:rPr>
      </w:pPr>
    </w:p>
    <w:p w14:paraId="2E878008" w14:textId="77777777" w:rsidR="00D462FB" w:rsidRPr="00112BF9" w:rsidRDefault="008B3ECF">
      <w:pPr>
        <w:keepNext/>
        <w:widowControl w:val="0"/>
        <w:pBdr>
          <w:top w:val="nil"/>
          <w:left w:val="nil"/>
          <w:bottom w:val="nil"/>
          <w:right w:val="nil"/>
          <w:between w:val="nil"/>
        </w:pBdr>
        <w:spacing w:line="240" w:lineRule="auto"/>
        <w:ind w:left="0" w:right="-1220" w:hanging="2"/>
        <w:jc w:val="both"/>
        <w:rPr>
          <w:rFonts w:ascii="Titillium" w:eastAsia="Arial" w:hAnsi="Titillium" w:cs="Arial"/>
          <w:b/>
          <w:color w:val="000000"/>
          <w:sz w:val="21"/>
          <w:szCs w:val="21"/>
          <w:highlight w:val="white"/>
        </w:rPr>
      </w:pPr>
      <w:r w:rsidRPr="00112BF9">
        <w:rPr>
          <w:rFonts w:ascii="Titillium" w:eastAsia="Arial" w:hAnsi="Titillium" w:cs="Arial"/>
          <w:b/>
          <w:color w:val="000000"/>
          <w:sz w:val="21"/>
          <w:szCs w:val="21"/>
          <w:highlight w:val="white"/>
        </w:rPr>
        <w:t>___________-</w:t>
      </w:r>
    </w:p>
    <w:p w14:paraId="1F478B8C" w14:textId="77777777" w:rsidR="00D462FB" w:rsidRPr="00112BF9" w:rsidRDefault="00D462FB">
      <w:pPr>
        <w:keepNext/>
        <w:widowControl w:val="0"/>
        <w:pBdr>
          <w:top w:val="nil"/>
          <w:left w:val="nil"/>
          <w:bottom w:val="nil"/>
          <w:right w:val="nil"/>
          <w:between w:val="nil"/>
        </w:pBdr>
        <w:spacing w:line="240" w:lineRule="auto"/>
        <w:ind w:left="0" w:right="-1220" w:hanging="2"/>
        <w:jc w:val="both"/>
        <w:rPr>
          <w:rFonts w:ascii="Titillium" w:eastAsia="Arial" w:hAnsi="Titillium" w:cs="Arial"/>
          <w:b/>
          <w:sz w:val="21"/>
          <w:szCs w:val="21"/>
          <w:highlight w:val="white"/>
        </w:rPr>
      </w:pPr>
    </w:p>
    <w:p w14:paraId="16C14F21" w14:textId="77777777" w:rsidR="00D462FB" w:rsidRPr="00112BF9" w:rsidRDefault="008B3ECF">
      <w:pPr>
        <w:keepNext/>
        <w:widowControl w:val="0"/>
        <w:pBdr>
          <w:top w:val="nil"/>
          <w:left w:val="nil"/>
          <w:bottom w:val="nil"/>
          <w:right w:val="nil"/>
          <w:between w:val="nil"/>
        </w:pBdr>
        <w:spacing w:line="240" w:lineRule="auto"/>
        <w:ind w:left="0" w:right="-1220" w:hanging="2"/>
        <w:jc w:val="right"/>
        <w:rPr>
          <w:rFonts w:ascii="Titillium" w:eastAsia="Arial" w:hAnsi="Titillium" w:cs="Arial"/>
          <w:color w:val="000000"/>
          <w:sz w:val="21"/>
          <w:szCs w:val="21"/>
          <w:highlight w:val="white"/>
        </w:rPr>
      </w:pPr>
      <w:r w:rsidRPr="00112BF9">
        <w:rPr>
          <w:rFonts w:ascii="Titillium" w:eastAsia="Arial" w:hAnsi="Titillium" w:cs="Arial"/>
          <w:sz w:val="21"/>
          <w:szCs w:val="21"/>
          <w:highlight w:val="white"/>
        </w:rPr>
        <w:t xml:space="preserve">                   </w:t>
      </w:r>
      <w:r w:rsidRPr="00112BF9">
        <w:rPr>
          <w:rFonts w:ascii="Titillium" w:eastAsia="Arial" w:hAnsi="Titillium" w:cs="Arial"/>
          <w:color w:val="000000"/>
          <w:sz w:val="21"/>
          <w:szCs w:val="21"/>
          <w:highlight w:val="white"/>
        </w:rPr>
        <w:t>Sig. ________-</w:t>
      </w:r>
      <w:r w:rsidRPr="00112BF9">
        <w:rPr>
          <w:rFonts w:ascii="Titillium" w:eastAsia="Arial" w:hAnsi="Titillium" w:cs="Arial"/>
          <w:color w:val="000000"/>
          <w:sz w:val="21"/>
          <w:szCs w:val="21"/>
          <w:highlight w:val="white"/>
        </w:rPr>
        <w:tab/>
      </w:r>
      <w:r w:rsidRPr="00112BF9">
        <w:rPr>
          <w:rFonts w:ascii="Titillium" w:eastAsia="Arial" w:hAnsi="Titillium" w:cs="Arial"/>
          <w:color w:val="000000"/>
          <w:sz w:val="21"/>
          <w:szCs w:val="21"/>
          <w:highlight w:val="white"/>
        </w:rPr>
        <w:tab/>
      </w:r>
      <w:r w:rsidRPr="00112BF9">
        <w:rPr>
          <w:rFonts w:ascii="Titillium" w:eastAsia="Arial" w:hAnsi="Titillium" w:cs="Arial"/>
          <w:color w:val="000000"/>
          <w:sz w:val="21"/>
          <w:szCs w:val="21"/>
          <w:highlight w:val="white"/>
        </w:rPr>
        <w:tab/>
      </w:r>
      <w:r w:rsidRPr="00112BF9">
        <w:rPr>
          <w:rFonts w:ascii="Titillium" w:eastAsia="Arial" w:hAnsi="Titillium" w:cs="Arial"/>
          <w:color w:val="000000"/>
          <w:sz w:val="21"/>
          <w:szCs w:val="21"/>
          <w:highlight w:val="white"/>
        </w:rPr>
        <w:tab/>
      </w:r>
    </w:p>
    <w:p w14:paraId="11057397" w14:textId="77777777" w:rsidR="00D462FB" w:rsidRPr="00112BF9" w:rsidRDefault="00D462FB">
      <w:pPr>
        <w:keepNext/>
        <w:widowControl w:val="0"/>
        <w:pBdr>
          <w:top w:val="nil"/>
          <w:left w:val="nil"/>
          <w:bottom w:val="nil"/>
          <w:right w:val="nil"/>
          <w:between w:val="nil"/>
        </w:pBdr>
        <w:tabs>
          <w:tab w:val="left" w:pos="709"/>
        </w:tabs>
        <w:spacing w:line="240" w:lineRule="auto"/>
        <w:ind w:left="0" w:right="-1220" w:hanging="2"/>
        <w:jc w:val="center"/>
        <w:rPr>
          <w:rFonts w:ascii="Titillium" w:eastAsia="Arial" w:hAnsi="Titillium" w:cs="Arial"/>
          <w:color w:val="000000"/>
          <w:sz w:val="21"/>
          <w:szCs w:val="21"/>
          <w:highlight w:val="white"/>
        </w:rPr>
      </w:pPr>
    </w:p>
    <w:p w14:paraId="19303017" w14:textId="77777777" w:rsidR="00D462FB" w:rsidRPr="00112BF9" w:rsidRDefault="00D462FB">
      <w:pPr>
        <w:pBdr>
          <w:top w:val="nil"/>
          <w:left w:val="nil"/>
          <w:bottom w:val="nil"/>
          <w:right w:val="nil"/>
          <w:between w:val="nil"/>
        </w:pBdr>
        <w:spacing w:line="240" w:lineRule="auto"/>
        <w:ind w:left="0" w:right="-1220" w:hanging="2"/>
        <w:rPr>
          <w:rFonts w:ascii="Titillium" w:eastAsia="Arial" w:hAnsi="Titillium" w:cs="Arial"/>
          <w:color w:val="000000"/>
          <w:sz w:val="21"/>
          <w:szCs w:val="21"/>
          <w:highlight w:val="white"/>
        </w:rPr>
      </w:pPr>
    </w:p>
    <w:sectPr w:rsidR="00D462FB" w:rsidRPr="00112BF9" w:rsidSect="00DE0EFA">
      <w:headerReference w:type="even" r:id="rId9"/>
      <w:headerReference w:type="default" r:id="rId10"/>
      <w:footerReference w:type="even" r:id="rId11"/>
      <w:footerReference w:type="default" r:id="rId12"/>
      <w:headerReference w:type="first" r:id="rId13"/>
      <w:footerReference w:type="first" r:id="rId14"/>
      <w:pgSz w:w="11906" w:h="16838"/>
      <w:pgMar w:top="2127" w:right="2835" w:bottom="1134" w:left="1644" w:header="568"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64222C" w14:textId="77777777" w:rsidR="008B3ECF" w:rsidRDefault="008B3ECF">
      <w:pPr>
        <w:spacing w:line="240" w:lineRule="auto"/>
        <w:ind w:left="0" w:hanging="2"/>
      </w:pPr>
      <w:r>
        <w:separator/>
      </w:r>
    </w:p>
  </w:endnote>
  <w:endnote w:type="continuationSeparator" w:id="0">
    <w:p w14:paraId="77972D16" w14:textId="77777777" w:rsidR="008B3ECF" w:rsidRDefault="008B3EC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tillium">
    <w:altName w:val="Cambria"/>
    <w:panose1 w:val="00000000000000000000"/>
    <w:charset w:val="4D"/>
    <w:family w:val="auto"/>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Gill San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BF3549" w14:textId="77777777" w:rsidR="00DE0EFA" w:rsidRDefault="00DE0EFA">
    <w:pPr>
      <w:pStyle w:val="Pidipa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32B8D7" w14:textId="77777777" w:rsidR="00D462FB" w:rsidRDefault="008B3ECF">
    <w:pPr>
      <w:pBdr>
        <w:top w:val="nil"/>
        <w:left w:val="nil"/>
        <w:bottom w:val="nil"/>
        <w:right w:val="nil"/>
        <w:between w:val="nil"/>
      </w:pBdr>
      <w:spacing w:line="240" w:lineRule="auto"/>
      <w:ind w:left="0" w:hanging="2"/>
      <w:jc w:val="center"/>
      <w:rPr>
        <w:color w:val="000000"/>
      </w:rPr>
    </w:pPr>
    <w:r>
      <w:rPr>
        <w:color w:val="000000"/>
      </w:rPr>
      <w:t xml:space="preserve">Pag. </w:t>
    </w:r>
    <w:r>
      <w:rPr>
        <w:color w:val="000000"/>
      </w:rPr>
      <w:fldChar w:fldCharType="begin"/>
    </w:r>
    <w:r>
      <w:rPr>
        <w:color w:val="000000"/>
      </w:rPr>
      <w:instrText>PAGE</w:instrText>
    </w:r>
    <w:r>
      <w:rPr>
        <w:color w:val="000000"/>
      </w:rPr>
      <w:fldChar w:fldCharType="separate"/>
    </w:r>
    <w:r w:rsidR="001D7BE2">
      <w:rPr>
        <w:noProof/>
        <w:color w:val="000000"/>
      </w:rPr>
      <w:t>2</w:t>
    </w:r>
    <w:r>
      <w:rPr>
        <w:color w:val="000000"/>
      </w:rPr>
      <w:fldChar w:fldCharType="end"/>
    </w:r>
    <w:r>
      <w:rPr>
        <w:color w:val="000000"/>
      </w:rPr>
      <w:t xml:space="preserve"> di </w:t>
    </w:r>
    <w:r>
      <w:rPr>
        <w:color w:val="000000"/>
      </w:rPr>
      <w:fldChar w:fldCharType="begin"/>
    </w:r>
    <w:r>
      <w:rPr>
        <w:color w:val="000000"/>
      </w:rPr>
      <w:instrText>NUMPAGES</w:instrText>
    </w:r>
    <w:r>
      <w:rPr>
        <w:color w:val="000000"/>
      </w:rPr>
      <w:fldChar w:fldCharType="separate"/>
    </w:r>
    <w:r w:rsidR="001D7BE2">
      <w:rPr>
        <w:noProof/>
        <w:color w:val="000000"/>
      </w:rPr>
      <w:t>3</w:t>
    </w:r>
    <w:r>
      <w:rPr>
        <w:color w:val="000000"/>
      </w:rPr>
      <w:fldChar w:fldCharType="end"/>
    </w:r>
  </w:p>
  <w:p w14:paraId="6FE9FF39" w14:textId="77777777" w:rsidR="00D462FB" w:rsidRDefault="00D462FB">
    <w:pPr>
      <w:pBdr>
        <w:top w:val="nil"/>
        <w:left w:val="nil"/>
        <w:bottom w:val="nil"/>
        <w:right w:val="nil"/>
        <w:between w:val="nil"/>
      </w:pBdr>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9640C7" w14:textId="77777777" w:rsidR="00D462FB" w:rsidRDefault="00D462FB">
    <w:pPr>
      <w:widowControl w:val="0"/>
      <w:pBdr>
        <w:top w:val="nil"/>
        <w:left w:val="nil"/>
        <w:bottom w:val="nil"/>
        <w:right w:val="nil"/>
        <w:between w:val="nil"/>
      </w:pBdr>
      <w:spacing w:line="276" w:lineRule="auto"/>
      <w:rPr>
        <w:color w:val="000000"/>
        <w:sz w:val="14"/>
        <w:szCs w:val="14"/>
      </w:rPr>
    </w:pPr>
  </w:p>
  <w:tbl>
    <w:tblPr>
      <w:tblStyle w:val="aa"/>
      <w:tblW w:w="7425" w:type="dxa"/>
      <w:tblInd w:w="-108" w:type="dxa"/>
      <w:tblLayout w:type="fixed"/>
      <w:tblLook w:val="0000" w:firstRow="0" w:lastRow="0" w:firstColumn="0" w:lastColumn="0" w:noHBand="0" w:noVBand="0"/>
    </w:tblPr>
    <w:tblGrid>
      <w:gridCol w:w="2475"/>
      <w:gridCol w:w="2475"/>
      <w:gridCol w:w="2475"/>
    </w:tblGrid>
    <w:tr w:rsidR="00D462FB" w14:paraId="757290C7" w14:textId="77777777">
      <w:trPr>
        <w:trHeight w:val="300"/>
      </w:trPr>
      <w:tc>
        <w:tcPr>
          <w:tcW w:w="2475" w:type="dxa"/>
        </w:tcPr>
        <w:p w14:paraId="2F3FEF48" w14:textId="77777777" w:rsidR="00D462FB" w:rsidRDefault="00D462FB">
          <w:pPr>
            <w:pBdr>
              <w:top w:val="nil"/>
              <w:left w:val="nil"/>
              <w:bottom w:val="nil"/>
              <w:right w:val="nil"/>
              <w:between w:val="nil"/>
            </w:pBdr>
            <w:spacing w:line="360" w:lineRule="auto"/>
            <w:rPr>
              <w:color w:val="000000"/>
              <w:sz w:val="14"/>
              <w:szCs w:val="14"/>
            </w:rPr>
          </w:pPr>
        </w:p>
      </w:tc>
      <w:tc>
        <w:tcPr>
          <w:tcW w:w="2475" w:type="dxa"/>
        </w:tcPr>
        <w:p w14:paraId="42CB6098" w14:textId="77777777" w:rsidR="00D462FB" w:rsidRDefault="00D462FB">
          <w:pPr>
            <w:pBdr>
              <w:top w:val="nil"/>
              <w:left w:val="nil"/>
              <w:bottom w:val="nil"/>
              <w:right w:val="nil"/>
              <w:between w:val="nil"/>
            </w:pBdr>
            <w:spacing w:line="360" w:lineRule="auto"/>
            <w:jc w:val="center"/>
            <w:rPr>
              <w:color w:val="000000"/>
              <w:sz w:val="14"/>
              <w:szCs w:val="14"/>
            </w:rPr>
          </w:pPr>
        </w:p>
      </w:tc>
      <w:tc>
        <w:tcPr>
          <w:tcW w:w="2475" w:type="dxa"/>
        </w:tcPr>
        <w:p w14:paraId="0F456CFB" w14:textId="77777777" w:rsidR="00D462FB" w:rsidRDefault="00D462FB">
          <w:pPr>
            <w:pBdr>
              <w:top w:val="nil"/>
              <w:left w:val="nil"/>
              <w:bottom w:val="nil"/>
              <w:right w:val="nil"/>
              <w:between w:val="nil"/>
            </w:pBdr>
            <w:spacing w:line="360" w:lineRule="auto"/>
            <w:ind w:right="-115"/>
            <w:jc w:val="right"/>
            <w:rPr>
              <w:color w:val="000000"/>
              <w:sz w:val="14"/>
              <w:szCs w:val="14"/>
            </w:rPr>
          </w:pPr>
        </w:p>
      </w:tc>
    </w:tr>
  </w:tbl>
  <w:p w14:paraId="472919F4" w14:textId="77777777" w:rsidR="00D462FB" w:rsidRDefault="00D462FB">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B199BA" w14:textId="77777777" w:rsidR="008B3ECF" w:rsidRDefault="008B3ECF">
      <w:pPr>
        <w:spacing w:line="240" w:lineRule="auto"/>
        <w:ind w:left="0" w:hanging="2"/>
      </w:pPr>
      <w:r>
        <w:separator/>
      </w:r>
    </w:p>
  </w:footnote>
  <w:footnote w:type="continuationSeparator" w:id="0">
    <w:p w14:paraId="7E19F46C" w14:textId="77777777" w:rsidR="008B3ECF" w:rsidRDefault="008B3ECF">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256416" w14:textId="77777777" w:rsidR="00D462FB" w:rsidRDefault="00D462FB">
    <w:pPr>
      <w:pBdr>
        <w:top w:val="nil"/>
        <w:left w:val="nil"/>
        <w:bottom w:val="nil"/>
        <w:right w:val="nil"/>
        <w:between w:val="nil"/>
      </w:pBdr>
      <w:spacing w:line="240" w:lineRule="auto"/>
      <w:ind w:left="0" w:hanging="2"/>
      <w:rPr>
        <w:color w:val="000000"/>
      </w:rPr>
    </w:pPr>
  </w:p>
  <w:tbl>
    <w:tblPr>
      <w:tblStyle w:val="a8"/>
      <w:tblW w:w="967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99"/>
      <w:gridCol w:w="5875"/>
    </w:tblGrid>
    <w:tr w:rsidR="00D462FB" w14:paraId="4E431734" w14:textId="77777777">
      <w:trPr>
        <w:trHeight w:val="990"/>
      </w:trPr>
      <w:tc>
        <w:tcPr>
          <w:tcW w:w="3799" w:type="dxa"/>
          <w:vAlign w:val="center"/>
        </w:tcPr>
        <w:p w14:paraId="4E7D88D1" w14:textId="77777777" w:rsidR="00D462FB" w:rsidRDefault="008B3ECF">
          <w:pPr>
            <w:keepNext/>
            <w:pBdr>
              <w:top w:val="nil"/>
              <w:left w:val="nil"/>
              <w:bottom w:val="nil"/>
              <w:right w:val="nil"/>
              <w:between w:val="nil"/>
            </w:pBdr>
            <w:spacing w:line="276" w:lineRule="auto"/>
            <w:ind w:left="0" w:hanging="2"/>
            <w:rPr>
              <w:rFonts w:ascii="Gill Sans" w:eastAsia="Gill Sans" w:hAnsi="Gill Sans" w:cs="Gill Sans"/>
              <w:color w:val="000000"/>
            </w:rPr>
          </w:pPr>
          <w:r>
            <w:rPr>
              <w:noProof/>
            </w:rPr>
            <w:drawing>
              <wp:anchor distT="0" distB="0" distL="0" distR="0" simplePos="0" relativeHeight="251660288" behindDoc="1" locked="0" layoutInCell="1" hidden="0" allowOverlap="1" wp14:anchorId="35E5D2DB" wp14:editId="4CD6F985">
                <wp:simplePos x="0" y="0"/>
                <wp:positionH relativeFrom="column">
                  <wp:posOffset>0</wp:posOffset>
                </wp:positionH>
                <wp:positionV relativeFrom="paragraph">
                  <wp:posOffset>71755</wp:posOffset>
                </wp:positionV>
                <wp:extent cx="974725" cy="543560"/>
                <wp:effectExtent l="0" t="0" r="0" b="0"/>
                <wp:wrapNone/>
                <wp:docPr id="646257817" name="Immagine 646257817"/>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974725" cy="543560"/>
                        </a:xfrm>
                        <a:prstGeom prst="rect">
                          <a:avLst/>
                        </a:prstGeom>
                        <a:ln/>
                      </pic:spPr>
                    </pic:pic>
                  </a:graphicData>
                </a:graphic>
              </wp:anchor>
            </w:drawing>
          </w:r>
          <w:r>
            <w:rPr>
              <w:noProof/>
            </w:rPr>
            <w:drawing>
              <wp:anchor distT="0" distB="0" distL="0" distR="0" simplePos="0" relativeHeight="251661312" behindDoc="1" locked="0" layoutInCell="1" hidden="0" allowOverlap="1" wp14:anchorId="6E2F349C" wp14:editId="240247F3">
                <wp:simplePos x="0" y="0"/>
                <wp:positionH relativeFrom="column">
                  <wp:posOffset>1017905</wp:posOffset>
                </wp:positionH>
                <wp:positionV relativeFrom="paragraph">
                  <wp:posOffset>137160</wp:posOffset>
                </wp:positionV>
                <wp:extent cx="1274445" cy="381000"/>
                <wp:effectExtent l="0" t="0" r="0" b="0"/>
                <wp:wrapNone/>
                <wp:docPr id="763231032" name="Immagine 763231032"/>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1274445" cy="381000"/>
                        </a:xfrm>
                        <a:prstGeom prst="rect">
                          <a:avLst/>
                        </a:prstGeom>
                        <a:ln/>
                      </pic:spPr>
                    </pic:pic>
                  </a:graphicData>
                </a:graphic>
              </wp:anchor>
            </w:drawing>
          </w:r>
        </w:p>
      </w:tc>
      <w:tc>
        <w:tcPr>
          <w:tcW w:w="5875" w:type="dxa"/>
          <w:vAlign w:val="center"/>
        </w:tcPr>
        <w:p w14:paraId="40F69843" w14:textId="77777777" w:rsidR="00D462FB" w:rsidRDefault="008B3ECF">
          <w:pPr>
            <w:pBdr>
              <w:top w:val="nil"/>
              <w:left w:val="nil"/>
              <w:bottom w:val="nil"/>
              <w:right w:val="nil"/>
              <w:between w:val="nil"/>
            </w:pBdr>
            <w:spacing w:line="240" w:lineRule="auto"/>
            <w:ind w:left="0" w:hanging="2"/>
            <w:jc w:val="center"/>
            <w:rPr>
              <w:rFonts w:ascii="Arial" w:eastAsia="Arial" w:hAnsi="Arial" w:cs="Arial"/>
              <w:color w:val="000000"/>
              <w:sz w:val="18"/>
              <w:szCs w:val="18"/>
            </w:rPr>
          </w:pPr>
          <w:r>
            <w:rPr>
              <w:rFonts w:ascii="Arial" w:eastAsia="Arial" w:hAnsi="Arial" w:cs="Arial"/>
              <w:b/>
              <w:color w:val="000000"/>
              <w:sz w:val="18"/>
              <w:szCs w:val="18"/>
            </w:rPr>
            <w:t>Modello 2</w:t>
          </w:r>
        </w:p>
        <w:p w14:paraId="4F3C101D" w14:textId="77777777" w:rsidR="00D462FB" w:rsidRDefault="008B3ECF">
          <w:pPr>
            <w:pBdr>
              <w:top w:val="nil"/>
              <w:left w:val="nil"/>
              <w:bottom w:val="nil"/>
              <w:right w:val="nil"/>
              <w:between w:val="nil"/>
            </w:pBdr>
            <w:spacing w:line="240" w:lineRule="auto"/>
            <w:ind w:left="0" w:hanging="2"/>
            <w:jc w:val="center"/>
            <w:rPr>
              <w:rFonts w:ascii="Arial" w:eastAsia="Arial" w:hAnsi="Arial" w:cs="Arial"/>
              <w:color w:val="000000"/>
              <w:sz w:val="18"/>
              <w:szCs w:val="18"/>
            </w:rPr>
          </w:pPr>
          <w:r>
            <w:rPr>
              <w:rFonts w:ascii="Arial" w:eastAsia="Arial" w:hAnsi="Arial" w:cs="Arial"/>
              <w:b/>
              <w:color w:val="000000"/>
              <w:sz w:val="18"/>
              <w:szCs w:val="18"/>
            </w:rPr>
            <w:t xml:space="preserve">Dichiarazione sostitutiva certificazione di cui all’art. 89 del D.Lgs 159/2011 </w:t>
          </w:r>
          <w:r>
            <w:rPr>
              <w:rFonts w:ascii="Arial" w:eastAsia="Arial" w:hAnsi="Arial" w:cs="Arial"/>
              <w:i/>
              <w:color w:val="000000"/>
              <w:sz w:val="18"/>
              <w:szCs w:val="18"/>
            </w:rPr>
            <w:t>(Autocertificazione antimafia)</w:t>
          </w:r>
        </w:p>
      </w:tc>
    </w:tr>
  </w:tbl>
  <w:p w14:paraId="7EDE0A97" w14:textId="77777777" w:rsidR="00D462FB" w:rsidRDefault="00D462FB">
    <w:pPr>
      <w:pBdr>
        <w:top w:val="nil"/>
        <w:left w:val="nil"/>
        <w:bottom w:val="nil"/>
        <w:right w:val="nil"/>
        <w:between w:val="nil"/>
      </w:pBdr>
      <w:spacing w:line="360" w:lineRule="auto"/>
      <w:jc w:val="both"/>
      <w:rPr>
        <w:color w:val="000000"/>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565FEB" w14:textId="3C2B4939" w:rsidR="00D462FB" w:rsidRDefault="00DE0EFA">
    <w:pPr>
      <w:widowControl w:val="0"/>
      <w:pBdr>
        <w:top w:val="nil"/>
        <w:left w:val="nil"/>
        <w:bottom w:val="nil"/>
        <w:right w:val="nil"/>
        <w:between w:val="nil"/>
      </w:pBdr>
      <w:spacing w:line="276" w:lineRule="auto"/>
      <w:ind w:left="0" w:hanging="2"/>
      <w:rPr>
        <w:color w:val="000000"/>
        <w:sz w:val="14"/>
        <w:szCs w:val="14"/>
      </w:rPr>
    </w:pPr>
    <w:r>
      <w:rPr>
        <w:noProof/>
        <w:color w:val="000000"/>
      </w:rPr>
      <w:drawing>
        <wp:anchor distT="0" distB="0" distL="114300" distR="114300" simplePos="0" relativeHeight="251662336" behindDoc="0" locked="0" layoutInCell="1" allowOverlap="1" wp14:anchorId="4BE2C15C" wp14:editId="560CF4FB">
          <wp:simplePos x="0" y="0"/>
          <wp:positionH relativeFrom="column">
            <wp:posOffset>-447675</wp:posOffset>
          </wp:positionH>
          <wp:positionV relativeFrom="paragraph">
            <wp:posOffset>-635</wp:posOffset>
          </wp:positionV>
          <wp:extent cx="6352540" cy="774065"/>
          <wp:effectExtent l="0" t="0" r="0" b="6985"/>
          <wp:wrapNone/>
          <wp:docPr id="1423986154"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2540" cy="774065"/>
                  </a:xfrm>
                  <a:prstGeom prst="rect">
                    <a:avLst/>
                  </a:prstGeom>
                  <a:noFill/>
                </pic:spPr>
              </pic:pic>
            </a:graphicData>
          </a:graphic>
          <wp14:sizeRelH relativeFrom="page">
            <wp14:pctWidth>0</wp14:pctWidth>
          </wp14:sizeRelH>
          <wp14:sizeRelV relativeFrom="page">
            <wp14:pctHeight>0</wp14:pctHeight>
          </wp14:sizeRelV>
        </wp:anchor>
      </w:drawing>
    </w:r>
    <w:r>
      <w:rPr>
        <w:noProof/>
        <w:color w:val="000000"/>
      </w:rPr>
      <w:drawing>
        <wp:inline distT="0" distB="0" distL="0" distR="0" wp14:anchorId="2B053617" wp14:editId="64CA0BFE">
          <wp:extent cx="4716145" cy="572725"/>
          <wp:effectExtent l="0" t="0" r="0" b="0"/>
          <wp:docPr id="261673627" name="Immagine 261673627"/>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4716145" cy="572725"/>
                  </a:xfrm>
                  <a:prstGeom prst="rect">
                    <a:avLst/>
                  </a:prstGeom>
                  <a:ln/>
                </pic:spPr>
              </pic:pic>
            </a:graphicData>
          </a:graphic>
        </wp:inline>
      </w:drawing>
    </w:r>
  </w:p>
  <w:p w14:paraId="60D81180" w14:textId="77777777" w:rsidR="00D462FB" w:rsidRDefault="00D462FB">
    <w:pPr>
      <w:pBdr>
        <w:top w:val="nil"/>
        <w:left w:val="nil"/>
        <w:bottom w:val="nil"/>
        <w:right w:val="nil"/>
        <w:between w:val="nil"/>
      </w:pBdr>
      <w:spacing w:line="360" w:lineRule="auto"/>
      <w:jc w:val="both"/>
      <w:rPr>
        <w:color w:val="000000"/>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E33EC8" w14:textId="4E5D942D" w:rsidR="00D462FB" w:rsidRDefault="00DE0EFA" w:rsidP="00DE0EFA">
    <w:pPr>
      <w:widowControl w:val="0"/>
      <w:pBdr>
        <w:top w:val="nil"/>
        <w:left w:val="nil"/>
        <w:bottom w:val="nil"/>
        <w:right w:val="nil"/>
        <w:between w:val="nil"/>
      </w:pBdr>
      <w:spacing w:line="276" w:lineRule="auto"/>
      <w:ind w:leftChars="-355" w:left="-708" w:hanging="2"/>
      <w:rPr>
        <w:color w:val="000000"/>
        <w:sz w:val="14"/>
        <w:szCs w:val="14"/>
      </w:rPr>
    </w:pPr>
    <w:r>
      <w:rPr>
        <w:noProof/>
        <w:color w:val="000000"/>
      </w:rPr>
      <w:drawing>
        <wp:inline distT="0" distB="0" distL="0" distR="0" wp14:anchorId="770A6B9E" wp14:editId="133D6E9B">
          <wp:extent cx="6353175" cy="771525"/>
          <wp:effectExtent l="0" t="0" r="9525" b="9525"/>
          <wp:docPr id="884731049" name="Immagine 884731049"/>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360504" cy="772415"/>
                  </a:xfrm>
                  <a:prstGeom prst="rect">
                    <a:avLst/>
                  </a:prstGeom>
                  <a:ln/>
                </pic:spPr>
              </pic:pic>
            </a:graphicData>
          </a:graphic>
        </wp:inline>
      </w:drawing>
    </w:r>
  </w:p>
  <w:p w14:paraId="3278D82C" w14:textId="77777777" w:rsidR="00D462FB" w:rsidRDefault="00D462FB">
    <w:pPr>
      <w:pBdr>
        <w:top w:val="nil"/>
        <w:left w:val="nil"/>
        <w:bottom w:val="nil"/>
        <w:right w:val="nil"/>
        <w:between w:val="nil"/>
      </w:pBdr>
      <w:spacing w:line="360" w:lineRule="auto"/>
      <w:jc w:val="both"/>
      <w:rPr>
        <w:color w:val="000000"/>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B0418"/>
    <w:multiLevelType w:val="multilevel"/>
    <w:tmpl w:val="99587006"/>
    <w:lvl w:ilvl="0">
      <w:start w:val="18"/>
      <w:numFmt w:val="bullet"/>
      <w:lvlText w:val="-"/>
      <w:lvlJc w:val="left"/>
      <w:pPr>
        <w:ind w:left="1069" w:hanging="360"/>
      </w:pPr>
      <w:rPr>
        <w:rFonts w:ascii="Times" w:eastAsia="Times" w:hAnsi="Times" w:cs="Times"/>
        <w:vertAlign w:val="baseline"/>
      </w:rPr>
    </w:lvl>
    <w:lvl w:ilvl="1">
      <w:start w:val="1"/>
      <w:numFmt w:val="bullet"/>
      <w:lvlText w:val="o"/>
      <w:lvlJc w:val="left"/>
      <w:pPr>
        <w:ind w:left="1789" w:hanging="360"/>
      </w:pPr>
      <w:rPr>
        <w:rFonts w:ascii="Courier New" w:eastAsia="Courier New" w:hAnsi="Courier New" w:cs="Courier New"/>
        <w:vertAlign w:val="baseline"/>
      </w:rPr>
    </w:lvl>
    <w:lvl w:ilvl="2">
      <w:start w:val="1"/>
      <w:numFmt w:val="bullet"/>
      <w:lvlText w:val="▪"/>
      <w:lvlJc w:val="left"/>
      <w:pPr>
        <w:ind w:left="2509" w:hanging="360"/>
      </w:pPr>
      <w:rPr>
        <w:rFonts w:ascii="Noto Sans Symbols" w:eastAsia="Noto Sans Symbols" w:hAnsi="Noto Sans Symbols" w:cs="Noto Sans Symbols"/>
        <w:vertAlign w:val="baseline"/>
      </w:rPr>
    </w:lvl>
    <w:lvl w:ilvl="3">
      <w:start w:val="1"/>
      <w:numFmt w:val="bullet"/>
      <w:lvlText w:val="●"/>
      <w:lvlJc w:val="left"/>
      <w:pPr>
        <w:ind w:left="3229" w:hanging="360"/>
      </w:pPr>
      <w:rPr>
        <w:rFonts w:ascii="Noto Sans Symbols" w:eastAsia="Noto Sans Symbols" w:hAnsi="Noto Sans Symbols" w:cs="Noto Sans Symbols"/>
        <w:vertAlign w:val="baseline"/>
      </w:rPr>
    </w:lvl>
    <w:lvl w:ilvl="4">
      <w:start w:val="1"/>
      <w:numFmt w:val="bullet"/>
      <w:lvlText w:val="o"/>
      <w:lvlJc w:val="left"/>
      <w:pPr>
        <w:ind w:left="3949" w:hanging="360"/>
      </w:pPr>
      <w:rPr>
        <w:rFonts w:ascii="Courier New" w:eastAsia="Courier New" w:hAnsi="Courier New" w:cs="Courier New"/>
        <w:vertAlign w:val="baseline"/>
      </w:rPr>
    </w:lvl>
    <w:lvl w:ilvl="5">
      <w:start w:val="1"/>
      <w:numFmt w:val="bullet"/>
      <w:lvlText w:val="▪"/>
      <w:lvlJc w:val="left"/>
      <w:pPr>
        <w:ind w:left="4669" w:hanging="360"/>
      </w:pPr>
      <w:rPr>
        <w:rFonts w:ascii="Noto Sans Symbols" w:eastAsia="Noto Sans Symbols" w:hAnsi="Noto Sans Symbols" w:cs="Noto Sans Symbols"/>
        <w:vertAlign w:val="baseline"/>
      </w:rPr>
    </w:lvl>
    <w:lvl w:ilvl="6">
      <w:start w:val="1"/>
      <w:numFmt w:val="bullet"/>
      <w:lvlText w:val="●"/>
      <w:lvlJc w:val="left"/>
      <w:pPr>
        <w:ind w:left="5389" w:hanging="360"/>
      </w:pPr>
      <w:rPr>
        <w:rFonts w:ascii="Noto Sans Symbols" w:eastAsia="Noto Sans Symbols" w:hAnsi="Noto Sans Symbols" w:cs="Noto Sans Symbols"/>
        <w:vertAlign w:val="baseline"/>
      </w:rPr>
    </w:lvl>
    <w:lvl w:ilvl="7">
      <w:start w:val="1"/>
      <w:numFmt w:val="bullet"/>
      <w:lvlText w:val="o"/>
      <w:lvlJc w:val="left"/>
      <w:pPr>
        <w:ind w:left="6109" w:hanging="360"/>
      </w:pPr>
      <w:rPr>
        <w:rFonts w:ascii="Courier New" w:eastAsia="Courier New" w:hAnsi="Courier New" w:cs="Courier New"/>
        <w:vertAlign w:val="baseline"/>
      </w:rPr>
    </w:lvl>
    <w:lvl w:ilvl="8">
      <w:start w:val="1"/>
      <w:numFmt w:val="bullet"/>
      <w:lvlText w:val="▪"/>
      <w:lvlJc w:val="left"/>
      <w:pPr>
        <w:ind w:left="6829" w:hanging="360"/>
      </w:pPr>
      <w:rPr>
        <w:rFonts w:ascii="Noto Sans Symbols" w:eastAsia="Noto Sans Symbols" w:hAnsi="Noto Sans Symbols" w:cs="Noto Sans Symbols"/>
        <w:vertAlign w:val="baseline"/>
      </w:rPr>
    </w:lvl>
  </w:abstractNum>
  <w:abstractNum w:abstractNumId="1" w15:restartNumberingAfterBreak="0">
    <w:nsid w:val="0AD7118D"/>
    <w:multiLevelType w:val="multilevel"/>
    <w:tmpl w:val="EEBC52A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2FAD2A5B"/>
    <w:multiLevelType w:val="multilevel"/>
    <w:tmpl w:val="1BC6C2A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323C53E6"/>
    <w:multiLevelType w:val="multilevel"/>
    <w:tmpl w:val="D1DC8C7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362E3A99"/>
    <w:multiLevelType w:val="multilevel"/>
    <w:tmpl w:val="9DBA5F26"/>
    <w:lvl w:ilvl="0">
      <w:start w:val="1"/>
      <w:numFmt w:val="decimal"/>
      <w:lvlText w:val="%1)"/>
      <w:lvlJc w:val="left"/>
      <w:pPr>
        <w:ind w:left="113" w:hanging="113"/>
      </w:pPr>
      <w:rPr>
        <w:b/>
        <w:i/>
        <w:color w:val="000000"/>
        <w:sz w:val="22"/>
        <w:szCs w:val="22"/>
        <w:vertAlign w:val="baseline"/>
      </w:rPr>
    </w:lvl>
    <w:lvl w:ilvl="1">
      <w:start w:val="1"/>
      <w:numFmt w:val="lowerLetter"/>
      <w:lvlText w:val="%2)"/>
      <w:lvlJc w:val="left"/>
      <w:pPr>
        <w:ind w:left="284" w:hanging="171"/>
      </w:pPr>
      <w:rPr>
        <w:b/>
        <w:color w:val="00000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3C95724E"/>
    <w:multiLevelType w:val="multilevel"/>
    <w:tmpl w:val="F7A05A5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3D762A7A"/>
    <w:multiLevelType w:val="multilevel"/>
    <w:tmpl w:val="9F82C10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432E6FFC"/>
    <w:multiLevelType w:val="multilevel"/>
    <w:tmpl w:val="ED3CA3A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45EA5C6A"/>
    <w:multiLevelType w:val="multilevel"/>
    <w:tmpl w:val="1FA425C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4EB36420"/>
    <w:multiLevelType w:val="multilevel"/>
    <w:tmpl w:val="F8C430F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58421D75"/>
    <w:multiLevelType w:val="hybridMultilevel"/>
    <w:tmpl w:val="7AC0AE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8FA2E1C"/>
    <w:multiLevelType w:val="hybridMultilevel"/>
    <w:tmpl w:val="69D0EB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52E56F5"/>
    <w:multiLevelType w:val="multilevel"/>
    <w:tmpl w:val="9AFEB08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6F317B0A"/>
    <w:multiLevelType w:val="multilevel"/>
    <w:tmpl w:val="EFEE3080"/>
    <w:lvl w:ilvl="0">
      <w:start w:val="2"/>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74A6587D"/>
    <w:multiLevelType w:val="multilevel"/>
    <w:tmpl w:val="D6041754"/>
    <w:lvl w:ilvl="0">
      <w:start w:val="1"/>
      <w:numFmt w:val="lowerLetter"/>
      <w:lvlText w:val="%1."/>
      <w:lvlJc w:val="left"/>
      <w:pPr>
        <w:ind w:left="775" w:hanging="360"/>
      </w:pPr>
      <w:rPr>
        <w:vertAlign w:val="baseline"/>
      </w:rPr>
    </w:lvl>
    <w:lvl w:ilvl="1">
      <w:start w:val="1"/>
      <w:numFmt w:val="lowerLetter"/>
      <w:lvlText w:val="%2."/>
      <w:lvlJc w:val="left"/>
      <w:pPr>
        <w:ind w:left="1495" w:hanging="360"/>
      </w:pPr>
      <w:rPr>
        <w:vertAlign w:val="baseline"/>
      </w:rPr>
    </w:lvl>
    <w:lvl w:ilvl="2">
      <w:start w:val="1"/>
      <w:numFmt w:val="lowerRoman"/>
      <w:lvlText w:val="%3."/>
      <w:lvlJc w:val="right"/>
      <w:pPr>
        <w:ind w:left="2215" w:hanging="180"/>
      </w:pPr>
      <w:rPr>
        <w:vertAlign w:val="baseline"/>
      </w:rPr>
    </w:lvl>
    <w:lvl w:ilvl="3">
      <w:start w:val="1"/>
      <w:numFmt w:val="decimal"/>
      <w:lvlText w:val="%4."/>
      <w:lvlJc w:val="left"/>
      <w:pPr>
        <w:ind w:left="2935" w:hanging="360"/>
      </w:pPr>
      <w:rPr>
        <w:vertAlign w:val="baseline"/>
      </w:rPr>
    </w:lvl>
    <w:lvl w:ilvl="4">
      <w:start w:val="1"/>
      <w:numFmt w:val="lowerLetter"/>
      <w:lvlText w:val="%5."/>
      <w:lvlJc w:val="left"/>
      <w:pPr>
        <w:ind w:left="3655" w:hanging="360"/>
      </w:pPr>
      <w:rPr>
        <w:vertAlign w:val="baseline"/>
      </w:rPr>
    </w:lvl>
    <w:lvl w:ilvl="5">
      <w:start w:val="1"/>
      <w:numFmt w:val="lowerRoman"/>
      <w:lvlText w:val="%6."/>
      <w:lvlJc w:val="right"/>
      <w:pPr>
        <w:ind w:left="4375" w:hanging="180"/>
      </w:pPr>
      <w:rPr>
        <w:vertAlign w:val="baseline"/>
      </w:rPr>
    </w:lvl>
    <w:lvl w:ilvl="6">
      <w:start w:val="1"/>
      <w:numFmt w:val="decimal"/>
      <w:lvlText w:val="%7."/>
      <w:lvlJc w:val="left"/>
      <w:pPr>
        <w:ind w:left="5095" w:hanging="360"/>
      </w:pPr>
      <w:rPr>
        <w:vertAlign w:val="baseline"/>
      </w:rPr>
    </w:lvl>
    <w:lvl w:ilvl="7">
      <w:start w:val="1"/>
      <w:numFmt w:val="lowerLetter"/>
      <w:lvlText w:val="%8."/>
      <w:lvlJc w:val="left"/>
      <w:pPr>
        <w:ind w:left="5815" w:hanging="360"/>
      </w:pPr>
      <w:rPr>
        <w:vertAlign w:val="baseline"/>
      </w:rPr>
    </w:lvl>
    <w:lvl w:ilvl="8">
      <w:start w:val="1"/>
      <w:numFmt w:val="lowerRoman"/>
      <w:lvlText w:val="%9."/>
      <w:lvlJc w:val="right"/>
      <w:pPr>
        <w:ind w:left="6535" w:hanging="180"/>
      </w:pPr>
      <w:rPr>
        <w:vertAlign w:val="baseline"/>
      </w:rPr>
    </w:lvl>
  </w:abstractNum>
  <w:num w:numId="1" w16cid:durableId="332805534">
    <w:abstractNumId w:val="12"/>
  </w:num>
  <w:num w:numId="2" w16cid:durableId="66539105">
    <w:abstractNumId w:val="0"/>
  </w:num>
  <w:num w:numId="3" w16cid:durableId="1044718546">
    <w:abstractNumId w:val="2"/>
  </w:num>
  <w:num w:numId="4" w16cid:durableId="1359042578">
    <w:abstractNumId w:val="8"/>
  </w:num>
  <w:num w:numId="5" w16cid:durableId="1232496008">
    <w:abstractNumId w:val="13"/>
  </w:num>
  <w:num w:numId="6" w16cid:durableId="1680499425">
    <w:abstractNumId w:val="9"/>
  </w:num>
  <w:num w:numId="7" w16cid:durableId="1489395761">
    <w:abstractNumId w:val="7"/>
  </w:num>
  <w:num w:numId="8" w16cid:durableId="1367944547">
    <w:abstractNumId w:val="1"/>
  </w:num>
  <w:num w:numId="9" w16cid:durableId="669019651">
    <w:abstractNumId w:val="14"/>
  </w:num>
  <w:num w:numId="10" w16cid:durableId="276913961">
    <w:abstractNumId w:val="3"/>
  </w:num>
  <w:num w:numId="11" w16cid:durableId="417944199">
    <w:abstractNumId w:val="5"/>
  </w:num>
  <w:num w:numId="12" w16cid:durableId="1301768266">
    <w:abstractNumId w:val="4"/>
  </w:num>
  <w:num w:numId="13" w16cid:durableId="1068067172">
    <w:abstractNumId w:val="6"/>
  </w:num>
  <w:num w:numId="14" w16cid:durableId="612250876">
    <w:abstractNumId w:val="11"/>
  </w:num>
  <w:num w:numId="15" w16cid:durableId="16630436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visionView w:inkAnnotations="0"/>
  <w:defaultTabStop w:val="720"/>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2FB"/>
    <w:rsid w:val="00112BF9"/>
    <w:rsid w:val="001301DD"/>
    <w:rsid w:val="001D7BE2"/>
    <w:rsid w:val="003627EC"/>
    <w:rsid w:val="0050615E"/>
    <w:rsid w:val="008B3ECF"/>
    <w:rsid w:val="008F78D4"/>
    <w:rsid w:val="00A94DA9"/>
    <w:rsid w:val="00D462FB"/>
    <w:rsid w:val="00DE0EFA"/>
    <w:rsid w:val="00E262F8"/>
    <w:rsid w:val="00F7302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2006A5"/>
  <w15:docId w15:val="{A45C053F-CABE-418E-BA61-1A0349FC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0EFA"/>
    <w:pPr>
      <w:suppressAutoHyphens/>
      <w:spacing w:line="1" w:lineRule="atLeast"/>
      <w:ind w:leftChars="-1" w:left="-1" w:hangingChars="1"/>
      <w:textDirection w:val="btLr"/>
      <w:textAlignment w:val="top"/>
      <w:outlineLvl w:val="0"/>
    </w:pPr>
    <w:rPr>
      <w:position w:val="-1"/>
    </w:rPr>
  </w:style>
  <w:style w:type="paragraph" w:styleId="Titolo1">
    <w:name w:val="heading 1"/>
    <w:basedOn w:val="Normale"/>
    <w:next w:val="Normale"/>
    <w:uiPriority w:val="9"/>
    <w:qFormat/>
    <w:pPr>
      <w:keepNext/>
      <w:widowControl w:val="0"/>
      <w:spacing w:line="567" w:lineRule="atLeast"/>
      <w:jc w:val="center"/>
    </w:pPr>
    <w:rPr>
      <w:b/>
      <w:sz w:val="22"/>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itolo1Carattere">
    <w:name w:val="Titolo 1 Carattere"/>
    <w:rPr>
      <w:rFonts w:ascii="Times New Roman" w:eastAsia="Times New Roman" w:hAnsi="Times New Roman" w:cs="Times New Roman"/>
      <w:b/>
      <w:w w:val="100"/>
      <w:position w:val="-1"/>
      <w:szCs w:val="20"/>
      <w:effect w:val="none"/>
      <w:vertAlign w:val="baseline"/>
      <w:cs w:val="0"/>
      <w:em w:val="none"/>
      <w:lang w:val="it-IT" w:eastAsia="it-IT"/>
    </w:rPr>
  </w:style>
  <w:style w:type="paragraph" w:styleId="Intestazione">
    <w:name w:val="header"/>
    <w:basedOn w:val="Normale"/>
    <w:pPr>
      <w:spacing w:line="360" w:lineRule="auto"/>
      <w:jc w:val="both"/>
    </w:pPr>
    <w:rPr>
      <w:sz w:val="14"/>
    </w:rPr>
  </w:style>
  <w:style w:type="character" w:customStyle="1" w:styleId="IntestazioneCarattere">
    <w:name w:val="Intestazione Carattere"/>
    <w:rPr>
      <w:rFonts w:ascii="Times New Roman" w:eastAsia="Times New Roman" w:hAnsi="Times New Roman" w:cs="Times New Roman"/>
      <w:w w:val="100"/>
      <w:position w:val="-1"/>
      <w:sz w:val="14"/>
      <w:szCs w:val="20"/>
      <w:effect w:val="none"/>
      <w:vertAlign w:val="baseline"/>
      <w:cs w:val="0"/>
      <w:em w:val="none"/>
      <w:lang w:val="it-IT" w:eastAsia="it-IT"/>
    </w:rPr>
  </w:style>
  <w:style w:type="paragraph" w:styleId="Pidipagina">
    <w:name w:val="footer"/>
    <w:basedOn w:val="Normale"/>
  </w:style>
  <w:style w:type="character" w:customStyle="1" w:styleId="PidipaginaCarattere">
    <w:name w:val="Piè di pagina Carattere"/>
    <w:rPr>
      <w:rFonts w:ascii="Times New Roman" w:eastAsia="Times New Roman" w:hAnsi="Times New Roman" w:cs="Times New Roman"/>
      <w:w w:val="100"/>
      <w:position w:val="-1"/>
      <w:sz w:val="20"/>
      <w:szCs w:val="20"/>
      <w:effect w:val="none"/>
      <w:vertAlign w:val="baseline"/>
      <w:cs w:val="0"/>
      <w:em w:val="none"/>
      <w:lang w:val="it-IT" w:eastAsia="it-IT"/>
    </w:rPr>
  </w:style>
  <w:style w:type="paragraph" w:styleId="Testodelblocco">
    <w:name w:val="Block Text"/>
    <w:basedOn w:val="Normale"/>
    <w:pPr>
      <w:spacing w:line="480" w:lineRule="atLeast"/>
      <w:ind w:left="1276" w:right="1134"/>
      <w:jc w:val="both"/>
    </w:pPr>
    <w:rPr>
      <w:b/>
      <w:sz w:val="24"/>
    </w:rPr>
  </w:style>
  <w:style w:type="character" w:styleId="Collegamentoipertestuale">
    <w:name w:val="Hyperlink"/>
    <w:rPr>
      <w:color w:val="0000FF"/>
      <w:w w:val="100"/>
      <w:position w:val="-1"/>
      <w:u w:val="single"/>
      <w:effect w:val="none"/>
      <w:vertAlign w:val="baseline"/>
      <w:cs w:val="0"/>
      <w:em w:val="none"/>
    </w:rPr>
  </w:style>
  <w:style w:type="numbering" w:customStyle="1" w:styleId="StileTestodelblocco11ptNonGrassettoDestro-015cmInt">
    <w:name w:val="Stile Testo del blocco + 11 pt Non Grassetto Destro -015 cm Int..."/>
    <w:basedOn w:val="Nessunelenco"/>
  </w:style>
  <w:style w:type="paragraph" w:customStyle="1" w:styleId="Corpodeltesto21">
    <w:name w:val="Corpo del testo 21"/>
    <w:basedOn w:val="Normale"/>
    <w:pPr>
      <w:suppressAutoHyphens w:val="0"/>
      <w:autoSpaceDE w:val="0"/>
      <w:spacing w:line="360" w:lineRule="auto"/>
      <w:ind w:left="284" w:hanging="284"/>
      <w:jc w:val="both"/>
    </w:pPr>
    <w:rPr>
      <w:rFonts w:ascii="Courier New" w:hAnsi="Courier New" w:cs="Courier New"/>
      <w:sz w:val="24"/>
      <w:szCs w:val="24"/>
      <w:lang w:eastAsia="ar-SA"/>
    </w:rPr>
  </w:style>
  <w:style w:type="paragraph" w:styleId="NormaleWeb">
    <w:name w:val="Normal (Web)"/>
    <w:basedOn w:val="Normale"/>
    <w:qFormat/>
    <w:pPr>
      <w:spacing w:before="100" w:beforeAutospacing="1" w:after="100" w:afterAutospacing="1"/>
    </w:pPr>
    <w:rPr>
      <w:rFonts w:ascii="Times" w:hAnsi="Times"/>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Grigliatabella1">
    <w:name w:val="Griglia tabella1"/>
    <w:basedOn w:val="Tabellanormale"/>
    <w:next w:val="Grigliatabella"/>
    <w:uiPriority w:val="39"/>
    <w:rsid w:val="008B3ECF"/>
    <w:pPr>
      <w:ind w:firstLine="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8B3E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7028603">
      <w:bodyDiv w:val="1"/>
      <w:marLeft w:val="0"/>
      <w:marRight w:val="0"/>
      <w:marTop w:val="0"/>
      <w:marBottom w:val="0"/>
      <w:divBdr>
        <w:top w:val="none" w:sz="0" w:space="0" w:color="auto"/>
        <w:left w:val="none" w:sz="0" w:space="0" w:color="auto"/>
        <w:bottom w:val="none" w:sz="0" w:space="0" w:color="auto"/>
        <w:right w:val="none" w:sz="0" w:space="0" w:color="auto"/>
      </w:divBdr>
    </w:div>
    <w:div w:id="19149279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osettiegatti.eu/info/norme/statali/2022_0078.ht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C7lOpEYZyeItQX+Ir9kYT7PYqQ==">CgMxLjAyCWguMzBqMHpsbDIJaC4xZm9iOXRlMg5oLjEyb3N6MnR1NHljMDgAciExX3ZXTFF1RFBEalZPck1mb0hSUm5MMTM2b0k4Ml9hM3M=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5557</Words>
  <Characters>31678</Characters>
  <Application>Microsoft Office Word</Application>
  <DocSecurity>0</DocSecurity>
  <Lines>263</Lines>
  <Paragraphs>74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Zucchini</dc:creator>
  <cp:lastModifiedBy>erina pizzi</cp:lastModifiedBy>
  <cp:revision>4</cp:revision>
  <dcterms:created xsi:type="dcterms:W3CDTF">2023-12-12T10:53:00Z</dcterms:created>
  <dcterms:modified xsi:type="dcterms:W3CDTF">2024-07-26T17:04:00Z</dcterms:modified>
</cp:coreProperties>
</file>