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B26" w:rsidRPr="00330A3D" w:rsidRDefault="00984B26" w:rsidP="00330A3D">
      <w:pPr>
        <w:spacing w:after="0" w:line="240" w:lineRule="auto"/>
        <w:rPr>
          <w:rFonts w:ascii="Titillium" w:eastAsia="Titilium" w:hAnsi="Titillium" w:cs="Titilium"/>
          <w:sz w:val="21"/>
          <w:szCs w:val="21"/>
        </w:rPr>
      </w:pPr>
    </w:p>
    <w:p w:rsidR="00B10B08" w:rsidRPr="00330A3D" w:rsidRDefault="000D7D38" w:rsidP="00330A3D">
      <w:pPr>
        <w:spacing w:after="0" w:line="240" w:lineRule="auto"/>
        <w:rPr>
          <w:rFonts w:ascii="Titillium" w:eastAsia="Titilium" w:hAnsi="Titillium" w:cs="Titilium"/>
          <w:b/>
          <w:sz w:val="21"/>
          <w:szCs w:val="21"/>
        </w:rPr>
      </w:pPr>
      <w:r w:rsidRPr="00330A3D">
        <w:rPr>
          <w:rFonts w:ascii="Titillium" w:eastAsia="Titilium" w:hAnsi="Titillium" w:cs="Titilium"/>
          <w:b/>
          <w:sz w:val="21"/>
          <w:szCs w:val="21"/>
        </w:rPr>
        <w:t>Di</w:t>
      </w:r>
      <w:r w:rsidR="00984B26" w:rsidRPr="00330A3D">
        <w:rPr>
          <w:rFonts w:ascii="Titillium" w:eastAsia="Titilium" w:hAnsi="Titillium" w:cs="Titilium"/>
          <w:b/>
          <w:sz w:val="21"/>
          <w:szCs w:val="21"/>
        </w:rPr>
        <w:t>chiarazioni integrative al DGUE</w:t>
      </w:r>
    </w:p>
    <w:p w:rsidR="00B10B08" w:rsidRPr="00330A3D" w:rsidRDefault="00B10B08" w:rsidP="00330A3D">
      <w:pPr>
        <w:spacing w:after="0" w:line="240" w:lineRule="auto"/>
        <w:rPr>
          <w:rFonts w:ascii="Titillium" w:eastAsia="Titilium" w:hAnsi="Titillium" w:cs="Titilium"/>
          <w:b/>
          <w:sz w:val="21"/>
          <w:szCs w:val="21"/>
        </w:rPr>
      </w:pPr>
    </w:p>
    <w:p w:rsidR="003C3246" w:rsidRDefault="003C3246" w:rsidP="003C3246">
      <w:pPr>
        <w:spacing w:line="276" w:lineRule="auto"/>
        <w:ind w:left="2" w:hanging="2"/>
        <w:jc w:val="both"/>
        <w:rPr>
          <w:rFonts w:ascii="Titillium" w:eastAsia="Titilium" w:hAnsi="Titillium" w:cs="Titilium"/>
          <w:sz w:val="21"/>
          <w:szCs w:val="21"/>
        </w:rPr>
      </w:pPr>
      <w:r>
        <w:rPr>
          <w:rFonts w:ascii="Titillium" w:eastAsia="Titilium" w:hAnsi="Titillium" w:cs="Titilium"/>
          <w:b/>
          <w:sz w:val="21"/>
          <w:szCs w:val="21"/>
        </w:rPr>
        <w:t>Affidamento diretto per lo studio di compatibilità elettromagnetica a supporto dell’installazione dell’antenna trasmittente del radar “BIRALES”</w:t>
      </w:r>
      <w:r>
        <w:rPr>
          <w:rFonts w:ascii="Titillium" w:eastAsia="Titilium" w:hAnsi="Titillium" w:cs="Titilium"/>
          <w:sz w:val="21"/>
          <w:szCs w:val="21"/>
        </w:rPr>
        <w:t xml:space="preserve"> </w:t>
      </w:r>
      <w:r>
        <w:rPr>
          <w:rFonts w:ascii="Titillium" w:hAnsi="Titillium"/>
          <w:b/>
          <w:sz w:val="21"/>
          <w:szCs w:val="21"/>
        </w:rPr>
        <w:t xml:space="preserve">per le esigenze del Progetto  PNRR - IR0000026 </w:t>
      </w:r>
      <w:proofErr w:type="spellStart"/>
      <w:r>
        <w:rPr>
          <w:rFonts w:ascii="Titillium" w:hAnsi="Titillium"/>
          <w:b/>
          <w:sz w:val="21"/>
          <w:szCs w:val="21"/>
        </w:rPr>
        <w:t>NextGeneration</w:t>
      </w:r>
      <w:proofErr w:type="spellEnd"/>
      <w:r>
        <w:rPr>
          <w:rFonts w:ascii="Titillium" w:hAnsi="Titillium"/>
          <w:b/>
          <w:sz w:val="21"/>
          <w:szCs w:val="21"/>
        </w:rPr>
        <w:t xml:space="preserve"> Croce “NG-CROCE”, Codice Identificativo: IR0000026, Codice Unico di Progetto:  C53C22000880006, ammesso a finanziamento nell’ambito degli "</w:t>
      </w:r>
      <w:r>
        <w:rPr>
          <w:rFonts w:ascii="Titillium" w:hAnsi="Titillium"/>
          <w:b/>
          <w:i/>
          <w:sz w:val="21"/>
          <w:szCs w:val="21"/>
        </w:rPr>
        <w:t>Interventi</w:t>
      </w:r>
      <w:r>
        <w:rPr>
          <w:rFonts w:ascii="Titillium" w:hAnsi="Titillium"/>
          <w:b/>
          <w:sz w:val="21"/>
          <w:szCs w:val="21"/>
        </w:rPr>
        <w:t>" previsti dalla "</w:t>
      </w:r>
      <w:r>
        <w:rPr>
          <w:rFonts w:ascii="Titillium" w:hAnsi="Titillium"/>
          <w:b/>
          <w:i/>
          <w:sz w:val="21"/>
          <w:szCs w:val="21"/>
        </w:rPr>
        <w:t>Missione 4</w:t>
      </w:r>
      <w:r>
        <w:rPr>
          <w:rFonts w:ascii="Titillium" w:hAnsi="Titillium"/>
          <w:b/>
          <w:sz w:val="21"/>
          <w:szCs w:val="21"/>
        </w:rPr>
        <w:t>", denominata "</w:t>
      </w:r>
      <w:r>
        <w:rPr>
          <w:rFonts w:ascii="Titillium" w:hAnsi="Titillium"/>
          <w:b/>
          <w:i/>
          <w:sz w:val="21"/>
          <w:szCs w:val="21"/>
        </w:rPr>
        <w:t>Istruzione e Ricerca</w:t>
      </w:r>
      <w:r>
        <w:rPr>
          <w:rFonts w:ascii="Titillium" w:hAnsi="Titillium"/>
          <w:b/>
          <w:sz w:val="21"/>
          <w:szCs w:val="21"/>
        </w:rPr>
        <w:t>", "</w:t>
      </w:r>
      <w:r>
        <w:rPr>
          <w:rFonts w:ascii="Titillium" w:hAnsi="Titillium"/>
          <w:b/>
          <w:i/>
          <w:sz w:val="21"/>
          <w:szCs w:val="21"/>
        </w:rPr>
        <w:t>Componente 2</w:t>
      </w:r>
      <w:r>
        <w:rPr>
          <w:rFonts w:ascii="Titillium" w:hAnsi="Titillium"/>
          <w:b/>
          <w:sz w:val="21"/>
          <w:szCs w:val="21"/>
        </w:rPr>
        <w:t>", denominata "</w:t>
      </w:r>
      <w:r>
        <w:rPr>
          <w:rFonts w:ascii="Titillium" w:hAnsi="Titillium"/>
          <w:b/>
          <w:i/>
          <w:sz w:val="21"/>
          <w:szCs w:val="21"/>
        </w:rPr>
        <w:t>Dalla Ricerca alla Impresa</w:t>
      </w:r>
      <w:r>
        <w:rPr>
          <w:rFonts w:ascii="Titillium" w:hAnsi="Titillium"/>
          <w:b/>
          <w:sz w:val="21"/>
          <w:szCs w:val="21"/>
        </w:rPr>
        <w:t>" ("</w:t>
      </w:r>
      <w:r>
        <w:rPr>
          <w:rFonts w:ascii="Titillium" w:hAnsi="Titillium"/>
          <w:b/>
          <w:i/>
          <w:sz w:val="21"/>
          <w:szCs w:val="21"/>
        </w:rPr>
        <w:t>M4C2</w:t>
      </w:r>
      <w:r>
        <w:rPr>
          <w:rFonts w:ascii="Titillium" w:hAnsi="Titillium"/>
          <w:b/>
          <w:sz w:val="21"/>
          <w:szCs w:val="21"/>
        </w:rPr>
        <w:t xml:space="preserve">"), </w:t>
      </w:r>
      <w:r>
        <w:rPr>
          <w:rFonts w:ascii="Titillium" w:hAnsi="Titillium"/>
          <w:b/>
          <w:i/>
          <w:sz w:val="21"/>
          <w:szCs w:val="21"/>
        </w:rPr>
        <w:t>Linea di Investimento 3.1", denominata "Rafforzamento e creazione di Infrastrutture di Ricerca", del "Piano Nazionale di Ripresa e Resilienza”</w:t>
      </w:r>
      <w:r>
        <w:rPr>
          <w:rFonts w:ascii="Titillium" w:hAnsi="Titillium"/>
          <w:sz w:val="21"/>
          <w:szCs w:val="21"/>
        </w:rPr>
        <w:t>.</w:t>
      </w:r>
    </w:p>
    <w:p w:rsidR="003C3246" w:rsidRDefault="003C3246" w:rsidP="003C3246">
      <w:pPr>
        <w:autoSpaceDE w:val="0"/>
        <w:autoSpaceDN w:val="0"/>
        <w:adjustRightInd w:val="0"/>
        <w:ind w:left="2" w:hanging="2"/>
        <w:rPr>
          <w:rFonts w:ascii="Titillium" w:eastAsia="Titilium" w:hAnsi="Titillium" w:cs="Titilium"/>
          <w:sz w:val="21"/>
          <w:szCs w:val="21"/>
        </w:rPr>
      </w:pPr>
      <w:r>
        <w:rPr>
          <w:rFonts w:ascii="Titillium" w:eastAsia="Titilium" w:hAnsi="Titillium" w:cs="Titilium"/>
          <w:b/>
          <w:sz w:val="21"/>
          <w:szCs w:val="21"/>
        </w:rPr>
        <w:t>CUI</w:t>
      </w:r>
      <w:r>
        <w:rPr>
          <w:rFonts w:ascii="Titillium" w:eastAsia="Titilium" w:hAnsi="Titillium" w:cs="Titilium"/>
          <w:sz w:val="21"/>
          <w:szCs w:val="21"/>
        </w:rPr>
        <w:t>: S97220210583202300010</w:t>
      </w:r>
    </w:p>
    <w:p w:rsidR="003C3246" w:rsidRDefault="003C3246" w:rsidP="003C3246">
      <w:pPr>
        <w:autoSpaceDE w:val="0"/>
        <w:autoSpaceDN w:val="0"/>
        <w:adjustRightInd w:val="0"/>
        <w:ind w:left="2" w:hanging="2"/>
        <w:rPr>
          <w:rFonts w:ascii="Titillium" w:hAnsi="Titillium" w:cs="Helvetica"/>
          <w:sz w:val="8"/>
          <w:szCs w:val="8"/>
        </w:rPr>
      </w:pPr>
      <w:r>
        <w:rPr>
          <w:rFonts w:ascii="Titillium" w:eastAsia="Titilium" w:hAnsi="Titillium" w:cs="Titilium"/>
          <w:b/>
          <w:sz w:val="21"/>
          <w:szCs w:val="21"/>
        </w:rPr>
        <w:t>CUP</w:t>
      </w:r>
      <w:r>
        <w:rPr>
          <w:rFonts w:ascii="Titillium" w:eastAsia="Titilium" w:hAnsi="Titillium" w:cs="Titilium"/>
          <w:sz w:val="21"/>
          <w:szCs w:val="21"/>
        </w:rPr>
        <w:t>: C53C22000880006</w:t>
      </w:r>
    </w:p>
    <w:p w:rsidR="003C3246" w:rsidRDefault="003C3246" w:rsidP="003C3246">
      <w:pPr>
        <w:spacing w:line="276" w:lineRule="auto"/>
        <w:ind w:left="2" w:hanging="2"/>
        <w:jc w:val="both"/>
        <w:rPr>
          <w:rFonts w:ascii="Titillium" w:eastAsia="Titilium" w:hAnsi="Titillium" w:cs="Titilium"/>
          <w:sz w:val="21"/>
          <w:szCs w:val="21"/>
        </w:rPr>
      </w:pPr>
      <w:r>
        <w:rPr>
          <w:rFonts w:ascii="Titillium" w:eastAsia="Titilium" w:hAnsi="Titillium" w:cs="Titilium"/>
          <w:b/>
          <w:sz w:val="21"/>
          <w:szCs w:val="21"/>
        </w:rPr>
        <w:t>CPV</w:t>
      </w:r>
      <w:r>
        <w:rPr>
          <w:rFonts w:ascii="Titillium" w:eastAsia="Titilium" w:hAnsi="Titillium" w:cs="Titilium"/>
          <w:sz w:val="21"/>
          <w:szCs w:val="21"/>
        </w:rPr>
        <w:t>: 71241000-9</w:t>
      </w:r>
    </w:p>
    <w:p w:rsidR="00B10B08" w:rsidRPr="00330A3D" w:rsidRDefault="00B10B08" w:rsidP="00330A3D">
      <w:pPr>
        <w:spacing w:after="0" w:line="240" w:lineRule="auto"/>
        <w:jc w:val="both"/>
        <w:rPr>
          <w:rFonts w:ascii="Titillium" w:eastAsia="Titilium" w:hAnsi="Titillium" w:cs="Titilium"/>
          <w:smallCaps/>
          <w:sz w:val="21"/>
          <w:szCs w:val="21"/>
        </w:rPr>
      </w:pPr>
      <w:bookmarkStart w:id="0" w:name="_GoBack"/>
      <w:bookmarkEnd w:id="0"/>
    </w:p>
    <w:tbl>
      <w:tblPr>
        <w:tblStyle w:val="ab"/>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835"/>
        <w:gridCol w:w="6457"/>
      </w:tblGrid>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Il sottoscritto</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9854" w:type="dxa"/>
            <w:gridSpan w:val="3"/>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Nella sua qualità di:</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Titolare o Legale rappresentante</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Procuratore</w:t>
            </w: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Del concorrente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mallCaps/>
          <w:sz w:val="21"/>
          <w:szCs w:val="21"/>
        </w:rPr>
      </w:pPr>
    </w:p>
    <w:p w:rsidR="00B10B08" w:rsidRPr="00330A3D" w:rsidRDefault="000D7D38" w:rsidP="00330A3D">
      <w:pPr>
        <w:widowControl w:val="0"/>
        <w:spacing w:after="0" w:line="240" w:lineRule="auto"/>
        <w:jc w:val="both"/>
        <w:rPr>
          <w:rFonts w:ascii="Titillium" w:eastAsia="Titilium" w:hAnsi="Titillium" w:cs="Titilium"/>
          <w:sz w:val="21"/>
          <w:szCs w:val="21"/>
        </w:rPr>
      </w:pPr>
      <w:r w:rsidRPr="00330A3D">
        <w:rPr>
          <w:rFonts w:ascii="Titillium" w:eastAsia="Titilium" w:hAnsi="Titillium" w:cs="Titilium"/>
          <w:sz w:val="21"/>
          <w:szCs w:val="21"/>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rsidR="00B10B08" w:rsidRPr="00330A3D" w:rsidRDefault="00B10B08" w:rsidP="00330A3D">
      <w:pPr>
        <w:widowControl w:val="0"/>
        <w:spacing w:after="0" w:line="240" w:lineRule="auto"/>
        <w:jc w:val="center"/>
        <w:rPr>
          <w:rFonts w:ascii="Titillium" w:eastAsia="Titilium" w:hAnsi="Titillium" w:cs="Titilium"/>
          <w:sz w:val="21"/>
          <w:szCs w:val="21"/>
        </w:rPr>
      </w:pPr>
    </w:p>
    <w:p w:rsidR="00B10B08" w:rsidRPr="00330A3D" w:rsidRDefault="000D7D38" w:rsidP="00330A3D">
      <w:pPr>
        <w:widowControl w:val="0"/>
        <w:spacing w:after="0" w:line="240" w:lineRule="auto"/>
        <w:jc w:val="center"/>
        <w:rPr>
          <w:rFonts w:ascii="Titillium" w:eastAsia="Titilium" w:hAnsi="Titillium" w:cs="Titilium"/>
          <w:sz w:val="21"/>
          <w:szCs w:val="21"/>
        </w:rPr>
      </w:pPr>
      <w:r w:rsidRPr="00330A3D">
        <w:rPr>
          <w:rFonts w:ascii="Titillium" w:eastAsia="Titilium" w:hAnsi="Titillium" w:cs="Titilium"/>
          <w:sz w:val="21"/>
          <w:szCs w:val="21"/>
        </w:rPr>
        <w:t>DICHIARA</w:t>
      </w:r>
    </w:p>
    <w:p w:rsidR="00B10B08" w:rsidRPr="00330A3D" w:rsidRDefault="00B10B08" w:rsidP="00330A3D">
      <w:pPr>
        <w:spacing w:after="0" w:line="240" w:lineRule="auto"/>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I dati identificativi (nome, cognome, data e luogo di nascita, codice fiscale, comune di residenza) </w:t>
      </w:r>
      <w:r w:rsidRPr="00330A3D">
        <w:rPr>
          <w:rFonts w:ascii="Titillium" w:eastAsia="Titilium" w:hAnsi="Titillium" w:cs="Titilium"/>
          <w:sz w:val="21"/>
          <w:szCs w:val="21"/>
          <w:highlight w:val="white"/>
        </w:rPr>
        <w:t>dei soggetti di cui all’art. 94, comma 3, del Decreto Legislativo 31 marzo 2023, numero 36</w:t>
      </w:r>
      <w:r w:rsidRPr="00330A3D">
        <w:rPr>
          <w:rFonts w:ascii="Titillium" w:eastAsia="Titilium" w:hAnsi="Titillium" w:cs="Titilium"/>
          <w:sz w:val="21"/>
          <w:szCs w:val="21"/>
        </w:rPr>
        <w:t xml:space="preserve">,, se non già individuati nella parte II </w:t>
      </w:r>
      <w:proofErr w:type="spellStart"/>
      <w:r w:rsidRPr="00330A3D">
        <w:rPr>
          <w:rFonts w:ascii="Titillium" w:eastAsia="Titilium" w:hAnsi="Titillium" w:cs="Titilium"/>
          <w:sz w:val="21"/>
          <w:szCs w:val="21"/>
        </w:rPr>
        <w:t>lett</w:t>
      </w:r>
      <w:proofErr w:type="spellEnd"/>
      <w:r w:rsidRPr="00330A3D">
        <w:rPr>
          <w:rFonts w:ascii="Titillium" w:eastAsia="Titilium" w:hAnsi="Titillium" w:cs="Titilium"/>
          <w:sz w:val="21"/>
          <w:szCs w:val="21"/>
        </w:rPr>
        <w:t>. B del DGUE, ovvero indica la banca dati ufficiale o il pubblico registro da cui i medesimi possono essere ricavati in modo aggiornato alla data di presentazione dell’offerta (devono essere indicati i dati identificativi dei  seguenti soggetti, anche cessati dalla carica nell’anno antecedente la data di pubblicazione del bando di gara: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p>
    <w:p w:rsidR="00B10B08" w:rsidRPr="00330A3D" w:rsidRDefault="00B10B08" w:rsidP="00330A3D">
      <w:pPr>
        <w:spacing w:after="0" w:line="240" w:lineRule="auto"/>
        <w:ind w:left="454"/>
        <w:jc w:val="both"/>
        <w:rPr>
          <w:rFonts w:ascii="Titillium" w:eastAsia="Titilium" w:hAnsi="Titillium" w:cs="Titilium"/>
          <w:sz w:val="21"/>
          <w:szCs w:val="21"/>
        </w:rPr>
      </w:pPr>
    </w:p>
    <w:tbl>
      <w:tblPr>
        <w:tblStyle w:val="ac"/>
        <w:tblW w:w="9399"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091"/>
        <w:gridCol w:w="1665"/>
        <w:gridCol w:w="1478"/>
        <w:gridCol w:w="1898"/>
        <w:gridCol w:w="1629"/>
      </w:tblGrid>
      <w:tr w:rsidR="00B10B08" w:rsidRPr="00330A3D">
        <w:tc>
          <w:tcPr>
            <w:tcW w:w="163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lastRenderedPageBreak/>
              <w:t>Cognome e Nome</w:t>
            </w:r>
          </w:p>
        </w:tc>
        <w:tc>
          <w:tcPr>
            <w:tcW w:w="1091"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Data di nascita</w:t>
            </w:r>
          </w:p>
        </w:tc>
        <w:tc>
          <w:tcPr>
            <w:tcW w:w="1665"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Luogo / Stato estero di nascita</w:t>
            </w:r>
          </w:p>
        </w:tc>
        <w:tc>
          <w:tcPr>
            <w:tcW w:w="147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189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Qualifica (titolare, legale rappresentante, procuratore, socio, …)</w:t>
            </w:r>
          </w:p>
        </w:tc>
        <w:tc>
          <w:tcPr>
            <w:tcW w:w="1629"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Data in cui è cessato dalla carica</w:t>
            </w: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non incorrere nelle cause di esclusione previste dal </w:t>
      </w:r>
      <w:r w:rsidRPr="00330A3D">
        <w:rPr>
          <w:rFonts w:ascii="Titillium" w:eastAsia="Titilium" w:hAnsi="Titillium" w:cs="Titilium"/>
          <w:b/>
          <w:sz w:val="21"/>
          <w:szCs w:val="21"/>
          <w:highlight w:val="white"/>
        </w:rPr>
        <w:t>Decreto legislativo 31 marzo 2023, n. 36 “</w:t>
      </w:r>
      <w:r w:rsidRPr="00330A3D">
        <w:rPr>
          <w:rFonts w:ascii="Titillium" w:eastAsia="Titilium" w:hAnsi="Titillium" w:cs="Titilium"/>
          <w:sz w:val="21"/>
          <w:szCs w:val="21"/>
          <w:highlight w:val="white"/>
        </w:rPr>
        <w:t>Codice dei contratti pubblici”</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spacing w:after="0" w:line="240" w:lineRule="auto"/>
        <w:ind w:left="454"/>
        <w:jc w:val="both"/>
        <w:rPr>
          <w:rFonts w:ascii="Titillium" w:eastAsia="Titilium" w:hAnsi="Titillium" w:cs="Titilium"/>
          <w:sz w:val="21"/>
          <w:szCs w:val="21"/>
        </w:rPr>
      </w:pPr>
      <w:r w:rsidRPr="00330A3D">
        <w:rPr>
          <w:rFonts w:ascii="Titillium" w:eastAsia="Titilium" w:hAnsi="Titillium" w:cs="Titilium"/>
          <w:sz w:val="21"/>
          <w:szCs w:val="21"/>
        </w:rPr>
        <w:t>(_) ovvero che il concorrente si è reso colpevole delle fattispecie che di seguito si elencano …;</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Per conto proprio e in nome e per conto dei soggetti individuati al precedente punto A, conformemente alle disposizioni del Codice dei contratti pubblici, ai sensi della vigente normativa antimafia, l’insussistenza delle cause di decadenza, di sospensione o di divieto previste dall’art. 67 del D. </w:t>
      </w:r>
      <w:proofErr w:type="spellStart"/>
      <w:r w:rsidRPr="00330A3D">
        <w:rPr>
          <w:rFonts w:ascii="Titillium" w:eastAsia="Titilium" w:hAnsi="Titillium" w:cs="Titilium"/>
          <w:sz w:val="21"/>
          <w:szCs w:val="21"/>
        </w:rPr>
        <w:t>Lgs</w:t>
      </w:r>
      <w:proofErr w:type="spellEnd"/>
      <w:r w:rsidRPr="00330A3D">
        <w:rPr>
          <w:rFonts w:ascii="Titillium" w:eastAsia="Titilium" w:hAnsi="Titillium" w:cs="Titilium"/>
          <w:sz w:val="21"/>
          <w:szCs w:val="21"/>
        </w:rPr>
        <w:t xml:space="preserve">. n. 159/2011 e </w:t>
      </w:r>
      <w:proofErr w:type="spellStart"/>
      <w:r w:rsidRPr="00330A3D">
        <w:rPr>
          <w:rFonts w:ascii="Titillium" w:eastAsia="Titilium" w:hAnsi="Titillium" w:cs="Titilium"/>
          <w:sz w:val="21"/>
          <w:szCs w:val="21"/>
        </w:rPr>
        <w:t>s.m.i.</w:t>
      </w:r>
      <w:proofErr w:type="spellEnd"/>
      <w:r w:rsidRPr="00330A3D">
        <w:rPr>
          <w:rFonts w:ascii="Titillium" w:eastAsia="Titilium" w:hAnsi="Titillium" w:cs="Titilium"/>
          <w:sz w:val="21"/>
          <w:szCs w:val="21"/>
        </w:rPr>
        <w:t xml:space="preserve"> o di un tentativo di infiltrazione mafiosa di cui all'art. 84, comma 4, del medesimo decreto;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non partecipare alla medesima gara in altra forma singola o associata, né come ausiliaria per altro concorrente;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la partecipazione alla presente procedura non determina alcuna situazione di conflitto di interesse, anche potenziale, ai sensi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stazione appaltante;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senza condizione o riserva alcuna, tutte le norme e disposizioni contenute nella documentazione di gara[, inclusi i criteri ambientali minimi di cui al DM]</w:t>
      </w:r>
      <w:r w:rsidRPr="00330A3D">
        <w:rPr>
          <w:rFonts w:ascii="Titillium" w:eastAsia="Titilium" w:hAnsi="Titillium" w:cs="Titilium"/>
          <w:sz w:val="21"/>
          <w:szCs w:val="21"/>
          <w:vertAlign w:val="superscript"/>
        </w:rPr>
        <w:footnoteReference w:id="1"/>
      </w:r>
      <w:r w:rsidRPr="00330A3D">
        <w:rPr>
          <w:rFonts w:ascii="Titillium" w:eastAsia="Titilium" w:hAnsi="Titillium" w:cs="Titilium"/>
          <w:sz w:val="21"/>
          <w:szCs w:val="21"/>
        </w:rPr>
        <w:t>;</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accettare espressamente che la Stazione Appaltante si riserva la facoltà di differire la stipula del contratto, entro i termini previsti dalla vigente normativa, a partire dalla data di aggiudicazione. La Stazione Appaltante si riserva di revocare la procedura ai sensi della legge 241/1990, art. 21-quinquies, per ragioni di </w:t>
      </w:r>
      <w:r w:rsidRPr="00330A3D">
        <w:rPr>
          <w:rFonts w:ascii="Titillium" w:eastAsia="Titilium" w:hAnsi="Titillium" w:cs="Titilium"/>
          <w:sz w:val="21"/>
          <w:szCs w:val="21"/>
        </w:rPr>
        <w:lastRenderedPageBreak/>
        <w:t>pubblico interesse ovvero nel caso in cui il finanziamento da parte del soggetto pubblico erogatore non risulti completamente trasferito alla Stazione Appaltante;</w:t>
      </w:r>
    </w:p>
    <w:p w:rsidR="00B10B08" w:rsidRPr="00330A3D" w:rsidRDefault="00B10B08" w:rsidP="00330A3D">
      <w:pPr>
        <w:spacing w:after="0" w:line="240" w:lineRule="auto"/>
        <w:jc w:val="both"/>
        <w:rPr>
          <w:rFonts w:ascii="Titillium" w:eastAsia="Titilium" w:hAnsi="Titillium" w:cs="Titilium"/>
          <w:color w:val="FF0000"/>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impegnarsi a ottemperare al rispetto dei principi per la sostenibilità ambientale e per la fattibilità dell’intervento riguardo al principio orizzontale del “Do </w:t>
      </w:r>
      <w:proofErr w:type="spellStart"/>
      <w:r w:rsidRPr="00330A3D">
        <w:rPr>
          <w:rFonts w:ascii="Titillium" w:eastAsia="Titilium" w:hAnsi="Titillium" w:cs="Titilium"/>
          <w:sz w:val="21"/>
          <w:szCs w:val="21"/>
        </w:rPr>
        <w:t>Not</w:t>
      </w:r>
      <w:proofErr w:type="spellEnd"/>
      <w:r w:rsidRPr="00330A3D">
        <w:rPr>
          <w:rFonts w:ascii="Titillium" w:eastAsia="Titilium" w:hAnsi="Titillium" w:cs="Titilium"/>
          <w:sz w:val="21"/>
          <w:szCs w:val="21"/>
        </w:rPr>
        <w:t xml:space="preserve"> </w:t>
      </w:r>
      <w:proofErr w:type="spellStart"/>
      <w:r w:rsidRPr="00330A3D">
        <w:rPr>
          <w:rFonts w:ascii="Titillium" w:eastAsia="Titilium" w:hAnsi="Titillium" w:cs="Titilium"/>
          <w:sz w:val="21"/>
          <w:szCs w:val="21"/>
        </w:rPr>
        <w:t>Significant</w:t>
      </w:r>
      <w:proofErr w:type="spellEnd"/>
      <w:r w:rsidRPr="00330A3D">
        <w:rPr>
          <w:rFonts w:ascii="Titillium" w:eastAsia="Titilium" w:hAnsi="Titillium" w:cs="Titilium"/>
          <w:sz w:val="21"/>
          <w:szCs w:val="21"/>
        </w:rPr>
        <w:t xml:space="preserve"> </w:t>
      </w:r>
      <w:proofErr w:type="spellStart"/>
      <w:r w:rsidRPr="00330A3D">
        <w:rPr>
          <w:rFonts w:ascii="Titillium" w:eastAsia="Titilium" w:hAnsi="Titillium" w:cs="Titilium"/>
          <w:sz w:val="21"/>
          <w:szCs w:val="21"/>
        </w:rPr>
        <w:t>Harm</w:t>
      </w:r>
      <w:proofErr w:type="spellEnd"/>
      <w:r w:rsidRPr="00330A3D">
        <w:rPr>
          <w:rFonts w:ascii="Titillium" w:eastAsia="Titilium" w:hAnsi="Titillium" w:cs="Titilium"/>
          <w:sz w:val="21"/>
          <w:szCs w:val="21"/>
        </w:rPr>
        <w:t>” (DNSH), ai sensi dell'articolo 17 del Regolamento (UE) 2020/852 e successivo art. 18 del Regolamento UE 241/2021 e della Circolare del MEF n. 33 del 13.10.2022 “Aggiornamento Guida operativa per il rispetto del principio di non arrecare danno significativo all'ambiente (cd. DNSH)”;</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il concorrente occupa un numero pari a … dipendenti, e che:</w:t>
      </w:r>
    </w:p>
    <w:tbl>
      <w:tblPr>
        <w:tblStyle w:val="ad"/>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più di 50 dipendenti, è soggetta all’obbligo di redazione del rapporto sulla situazione del personale, ai sensi dell’articolo 46, comma 2, decreto legislativo n. 198/2006.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Allega all’offerta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In aggiunta, nel caso in cui non abbia provveduto alla trasmissione del rapporto nei termini indicati dall'articolo 46 del decreto legislativo n. 198/2006: Allega all’offerta l’attestazione dell’avvenuta trasmissione alle rappresentanze sindacali aziendali e alla consigliera e al consigliere regionale di parità, in data anteriore a quella di presentazione dell’offerta.</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pari o superiore a 15 e non superiore a 50:</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Dichiara che nei 12 mesi precedenti al termine di presentazione dell’offerta non è incorsa nella violazione dell’obbligo di produrre alla stazione appaltante di un precedente contratto di appalto finanziato in tutto o in parte con fondi P.N.R.R. o P.N.C. la relazione di genere sulla situazione del personale maschile e femminile cui all’art. 47, comma 3, del D.L. n. 77/2021 convertito in L. n. 108/2021.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Stazione appaltante, nonché alle rappresentanze sindacali aziendali, alla consigliera e al consigliere regionale di parità, entro 6 mesi dalla stipula del contratto.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w:t>
            </w:r>
            <w:r w:rsidRPr="00330A3D">
              <w:rPr>
                <w:rFonts w:ascii="Titillium" w:eastAsia="Titilium" w:hAnsi="Titillium" w:cs="Titilium"/>
                <w:sz w:val="21"/>
                <w:szCs w:val="21"/>
              </w:rPr>
              <w:lastRenderedPageBreak/>
              <w:t>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lastRenderedPageBreak/>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inferiore a 15 di non essere tenuta al rispetto di quanto prescritto dall’art. 47, commi 2, 3 e 3bis, del D.L. n. 77/2021 convertito in L. n. 108/2021.</w:t>
            </w: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essere edotto degli obblighi derivanti dal Codice di comportamento adottato dall’Amministrazione reperibile sul sito internet www.inaf.it, sezione Amministrazione trasparente, sottosezione Disposizioni generali, e di impegnarsi, in caso di aggiudicazione, ad osservare e a far osservare ai propri dipendenti e collaboratori, per quanto applicabile, il suddetto codice, pena la risoluzione del contratto;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highlight w:val="white"/>
        </w:rPr>
      </w:pPr>
      <w:r w:rsidRPr="00330A3D">
        <w:rPr>
          <w:rFonts w:ascii="Titillium" w:eastAsia="Titilium" w:hAnsi="Titillium" w:cs="Titilium"/>
          <w:sz w:val="21"/>
          <w:szCs w:val="21"/>
          <w:highlight w:val="white"/>
        </w:rPr>
        <w:t xml:space="preserve">Di aver preso visione del Regolamento per la gestione, tutela e valorizzazione della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intellettuale e della incentivazione dell'innovazione di INAF</w:t>
      </w:r>
      <w:r w:rsidRPr="00330A3D">
        <w:rPr>
          <w:rFonts w:ascii="Titillium" w:eastAsia="Titilium" w:hAnsi="Titillium" w:cs="Titilium"/>
          <w:sz w:val="21"/>
          <w:szCs w:val="21"/>
          <w:highlight w:val="white"/>
          <w:vertAlign w:val="superscript"/>
        </w:rPr>
        <w:footnoteReference w:id="2"/>
      </w:r>
      <w:r w:rsidRPr="00330A3D">
        <w:rPr>
          <w:rFonts w:ascii="Titillium" w:eastAsia="Titilium" w:hAnsi="Titillium" w:cs="Titilium"/>
          <w:sz w:val="21"/>
          <w:szCs w:val="21"/>
          <w:highlight w:val="white"/>
        </w:rPr>
        <w:t xml:space="preserve">, e che si impegna a garantire tutte le tutele in materia di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intellettuale, intesa come il complesso dei diritti di </w:t>
      </w:r>
      <w:proofErr w:type="spellStart"/>
      <w:r w:rsidRPr="00330A3D">
        <w:rPr>
          <w:rFonts w:ascii="Titillium" w:eastAsia="Titilium" w:hAnsi="Titillium" w:cs="Titilium"/>
          <w:sz w:val="21"/>
          <w:szCs w:val="21"/>
          <w:highlight w:val="white"/>
        </w:rPr>
        <w:t>proprieta'</w:t>
      </w:r>
      <w:proofErr w:type="spellEnd"/>
      <w:r w:rsidRPr="00330A3D">
        <w:rPr>
          <w:rFonts w:ascii="Titillium" w:eastAsia="Titilium" w:hAnsi="Titillium" w:cs="Titilium"/>
          <w:sz w:val="21"/>
          <w:szCs w:val="21"/>
          <w:highlight w:val="white"/>
        </w:rPr>
        <w:t xml:space="preserve"> sui risultati, trovati e prodotti derivanti dall'«</w:t>
      </w:r>
      <w:proofErr w:type="spellStart"/>
      <w:r w:rsidRPr="00330A3D">
        <w:rPr>
          <w:rFonts w:ascii="Titillium" w:eastAsia="Titilium" w:hAnsi="Titillium" w:cs="Titilium"/>
          <w:sz w:val="21"/>
          <w:szCs w:val="21"/>
          <w:highlight w:val="white"/>
        </w:rPr>
        <w:t>attivita'</w:t>
      </w:r>
      <w:proofErr w:type="spellEnd"/>
      <w:r w:rsidRPr="00330A3D">
        <w:rPr>
          <w:rFonts w:ascii="Titillium" w:eastAsia="Titilium" w:hAnsi="Titillium" w:cs="Titilium"/>
          <w:sz w:val="21"/>
          <w:szCs w:val="21"/>
          <w:highlight w:val="white"/>
        </w:rPr>
        <w:t xml:space="preserve"> di ricerca» e/o da «altre </w:t>
      </w:r>
      <w:proofErr w:type="spellStart"/>
      <w:r w:rsidRPr="00330A3D">
        <w:rPr>
          <w:rFonts w:ascii="Titillium" w:eastAsia="Titilium" w:hAnsi="Titillium" w:cs="Titilium"/>
          <w:sz w:val="21"/>
          <w:szCs w:val="21"/>
          <w:highlight w:val="white"/>
        </w:rPr>
        <w:t>attivita'</w:t>
      </w:r>
      <w:proofErr w:type="spellEnd"/>
      <w:r w:rsidRPr="00330A3D">
        <w:rPr>
          <w:rFonts w:ascii="Titillium" w:eastAsia="Titilium" w:hAnsi="Titillium" w:cs="Titilium"/>
          <w:sz w:val="21"/>
          <w:szCs w:val="21"/>
          <w:highlight w:val="white"/>
        </w:rPr>
        <w:t>», svolte nello svolgimento dell’appalto in oggetto.</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il patto di integrità del INAF, parte della documentazione di gara. La mancata accettazione e/o il mancato rispetto delle clausole contenute nel protocollo di legalità/patto di integrità costituisce causa di esclusione dalla gara o di risoluzione del contratto, ai sensi dell’articolo 83-bis, del decreto legislativo 159/2011;</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Per quanto concerne l’art. 53, comma 16-ter, del D. </w:t>
      </w:r>
      <w:proofErr w:type="spellStart"/>
      <w:r w:rsidRPr="00330A3D">
        <w:rPr>
          <w:rFonts w:ascii="Titillium" w:eastAsia="Titilium" w:hAnsi="Titillium" w:cs="Titilium"/>
          <w:sz w:val="21"/>
          <w:szCs w:val="21"/>
        </w:rPr>
        <w:t>Lgs</w:t>
      </w:r>
      <w:proofErr w:type="spellEnd"/>
      <w:r w:rsidRPr="00330A3D">
        <w:rPr>
          <w:rFonts w:ascii="Titillium" w:eastAsia="Titilium" w:hAnsi="Titillium" w:cs="Titilium"/>
          <w:sz w:val="21"/>
          <w:szCs w:val="21"/>
        </w:rPr>
        <w:t>. 165/2001:</w:t>
      </w:r>
    </w:p>
    <w:tbl>
      <w:tblPr>
        <w:tblStyle w:val="ae"/>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non aver conferito incarichi professionali né concluso alcun contratto di lavoro subordinato o autonomo ad ex-dipendenti che hanno cessato il rapporto di lavoro con il INAF da meno di tre anni i quali, negli ultimi tre anni di servizio,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che hanno cessato il rapporto di lavoro da meno di tre anni i quali, negli ultimi tre anni di servizio, non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dopo tre anni da quando gli stessi hanno cessato il rapporto di lavoro con il INAF medesimo e quindi nel rispetto delle previsioni di legge</w:t>
            </w:r>
          </w:p>
        </w:tc>
      </w:tr>
    </w:tbl>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Remunerativa l’offerta economica presentata giacché per la sua formulazione ha preso atto e tenuto conto:</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Delle condizioni contrattuali e degli oneri compresi quelli eventuali relativi in materia di sicurezza, di assicurazione, di condizioni di lavoro e di previdenza e assistenza in vigore nel luogo dove devono essere svolti i servizi/fornitura;</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Di tutte le circostanze generali, particolari e locali, nessuna esclusa ed eccettuata, che possono avere influito o influire sia sull’esecuzione della fornitura/servizio, sia sulla determinazione della propria offerta.</w:t>
      </w:r>
    </w:p>
    <w:p w:rsidR="00B10B08" w:rsidRPr="00330A3D" w:rsidRDefault="00B10B08" w:rsidP="00330A3D">
      <w:pPr>
        <w:spacing w:after="0" w:line="240" w:lineRule="auto"/>
        <w:ind w:left="720"/>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lastRenderedPageBreak/>
        <w:t>(Per gli operatori economici non residenti e privi di stabile organizzazione in Italia) L’impegno ad uniformarsi, in caso di aggiudicazione, alla disciplina di cui agli articoli 17, comma 2, e 53, comma 3 del D.P.R. 633/1972 e a comunicare all’Amministrazione la nomina del proprio rappresentante fiscale, nelle forme di legge;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76, comma 5 del Codice;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aver preso visione e di accettare il trattamento dei dati personali di cui al Disciplinare di gara.</w:t>
      </w:r>
    </w:p>
    <w:p w:rsidR="00B10B08" w:rsidRPr="00330A3D" w:rsidRDefault="00B10B08" w:rsidP="00330A3D">
      <w:pPr>
        <w:widowControl w:val="0"/>
        <w:spacing w:after="0" w:line="240" w:lineRule="auto"/>
        <w:jc w:val="both"/>
        <w:rPr>
          <w:rFonts w:ascii="Titillium" w:eastAsia="Titilium" w:hAnsi="Titillium" w:cs="Titilium"/>
          <w:sz w:val="21"/>
          <w:szCs w:val="21"/>
        </w:rPr>
      </w:pPr>
    </w:p>
    <w:p w:rsidR="00B10B08" w:rsidRPr="00330A3D" w:rsidRDefault="000D7D38" w:rsidP="00330A3D">
      <w:pPr>
        <w:widowControl w:val="0"/>
        <w:spacing w:after="0" w:line="240" w:lineRule="auto"/>
        <w:jc w:val="right"/>
        <w:rPr>
          <w:rFonts w:ascii="Titillium" w:eastAsia="Titilium" w:hAnsi="Titillium" w:cs="Titilium"/>
          <w:sz w:val="21"/>
          <w:szCs w:val="21"/>
        </w:rPr>
      </w:pPr>
      <w:bookmarkStart w:id="1" w:name="_heading=h.gjdgxs" w:colFirst="0" w:colLast="0"/>
      <w:bookmarkEnd w:id="1"/>
      <w:r w:rsidRPr="00330A3D">
        <w:rPr>
          <w:rFonts w:ascii="Titillium" w:eastAsia="Titilium" w:hAnsi="Titillium" w:cs="Titilium"/>
          <w:sz w:val="21"/>
          <w:szCs w:val="21"/>
        </w:rPr>
        <w:t>Firma digitale</w:t>
      </w:r>
      <w:r w:rsidRPr="00330A3D">
        <w:rPr>
          <w:rFonts w:ascii="Titillium" w:eastAsia="Titilium" w:hAnsi="Titillium" w:cs="Titilium"/>
          <w:sz w:val="21"/>
          <w:szCs w:val="21"/>
          <w:vertAlign w:val="superscript"/>
        </w:rPr>
        <w:footnoteReference w:id="3"/>
      </w:r>
      <w:r w:rsidRPr="00330A3D">
        <w:rPr>
          <w:rFonts w:ascii="Titillium" w:eastAsia="Titilium" w:hAnsi="Titillium" w:cs="Titilium"/>
          <w:sz w:val="21"/>
          <w:szCs w:val="21"/>
        </w:rPr>
        <w:t xml:space="preserve"> del legale rappresentante/procuratore</w:t>
      </w:r>
      <w:r w:rsidRPr="00330A3D">
        <w:rPr>
          <w:rFonts w:ascii="Titillium" w:eastAsia="Titilium" w:hAnsi="Titillium" w:cs="Titilium"/>
          <w:sz w:val="21"/>
          <w:szCs w:val="21"/>
          <w:vertAlign w:val="superscript"/>
        </w:rPr>
        <w:footnoteReference w:id="4"/>
      </w:r>
    </w:p>
    <w:p w:rsidR="00B10B08" w:rsidRPr="00330A3D" w:rsidRDefault="00B10B08" w:rsidP="00330A3D">
      <w:pPr>
        <w:rPr>
          <w:rFonts w:ascii="Titillium" w:eastAsia="Titilium" w:hAnsi="Titillium" w:cs="Titilium"/>
          <w:sz w:val="21"/>
          <w:szCs w:val="21"/>
        </w:rPr>
      </w:pPr>
      <w:bookmarkStart w:id="2" w:name="_heading=h.30j0zll" w:colFirst="0" w:colLast="0"/>
      <w:bookmarkEnd w:id="2"/>
    </w:p>
    <w:sectPr w:rsidR="00B10B08" w:rsidRPr="00330A3D">
      <w:headerReference w:type="default" r:id="rId8"/>
      <w:footerReference w:type="default" r:id="rId9"/>
      <w:pgSz w:w="11906" w:h="16838"/>
      <w:pgMar w:top="239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DEF" w:rsidRDefault="00AE0DEF">
      <w:pPr>
        <w:spacing w:after="0" w:line="240" w:lineRule="auto"/>
      </w:pPr>
      <w:r>
        <w:separator/>
      </w:r>
    </w:p>
  </w:endnote>
  <w:endnote w:type="continuationSeparator" w:id="0">
    <w:p w:rsidR="00AE0DEF" w:rsidRDefault="00AE0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3C3246">
      <w:rPr>
        <w:noProof/>
        <w:color w:val="000000"/>
      </w:rPr>
      <w:t>5</w:t>
    </w:r>
    <w:r>
      <w:rPr>
        <w:color w:val="000000"/>
      </w:rPr>
      <w:fldChar w:fldCharType="end"/>
    </w:r>
  </w:p>
  <w:p w:rsidR="00B10B08" w:rsidRDefault="00B10B0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DEF" w:rsidRDefault="00AE0DEF">
      <w:pPr>
        <w:spacing w:after="0" w:line="240" w:lineRule="auto"/>
      </w:pPr>
      <w:r>
        <w:separator/>
      </w:r>
    </w:p>
  </w:footnote>
  <w:footnote w:type="continuationSeparator" w:id="0">
    <w:p w:rsidR="00AE0DEF" w:rsidRDefault="00AE0DEF">
      <w:pPr>
        <w:spacing w:after="0" w:line="240" w:lineRule="auto"/>
      </w:pPr>
      <w:r>
        <w:continuationSeparator/>
      </w:r>
    </w:p>
  </w:footnote>
  <w:footnote w:id="1">
    <w:p w:rsidR="00B10B08" w:rsidRDefault="000D7D38">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16"/>
          <w:szCs w:val="16"/>
        </w:rPr>
        <w:t xml:space="preserve"> </w:t>
      </w:r>
      <w:r>
        <w:rPr>
          <w:rFonts w:ascii="Titilium" w:eastAsia="Titilium" w:hAnsi="Titilium" w:cs="Titilium"/>
          <w:color w:val="000000"/>
          <w:sz w:val="20"/>
          <w:szCs w:val="20"/>
        </w:rPr>
        <w:t>Se inseriti nel disciplinare</w:t>
      </w:r>
    </w:p>
  </w:footnote>
  <w:footnote w:id="2">
    <w:p w:rsidR="00B10B08" w:rsidRDefault="000D7D38">
      <w:pPr>
        <w:spacing w:after="0" w:line="240" w:lineRule="auto"/>
        <w:rPr>
          <w:rFonts w:ascii="Titilium" w:eastAsia="Titilium" w:hAnsi="Titilium" w:cs="Titilium"/>
          <w:sz w:val="20"/>
          <w:szCs w:val="20"/>
        </w:rPr>
      </w:pPr>
      <w:r>
        <w:rPr>
          <w:vertAlign w:val="superscript"/>
        </w:rPr>
        <w:footnoteRef/>
      </w:r>
      <w:r>
        <w:rPr>
          <w:sz w:val="20"/>
          <w:szCs w:val="20"/>
        </w:rPr>
        <w:t xml:space="preserve"> </w:t>
      </w:r>
      <w:r>
        <w:rPr>
          <w:rFonts w:ascii="Titilium" w:eastAsia="Titilium" w:hAnsi="Titilium" w:cs="Titilium"/>
          <w:sz w:val="20"/>
          <w:szCs w:val="20"/>
        </w:rPr>
        <w:t>http://www.inaf.it/it/sedi/sede-centrale-nuova/direzione-scientifica/relazioni-industriali/materiali/Regolamento-IP-ATTO_COMPLETO.pdf</w:t>
      </w:r>
    </w:p>
  </w:footnote>
  <w:footnote w:id="3">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Per gli operatori economici italiani o stranieri residenti in Italia, la dichiarazione deve essere sottoscritta da un legale rappresentante ovvero da un procuratore</w:t>
      </w:r>
      <w:r>
        <w:rPr>
          <w:rFonts w:ascii="Titilium" w:eastAsia="Titilium" w:hAnsi="Titilium" w:cs="Titilium"/>
          <w:color w:val="000000"/>
          <w:sz w:val="20"/>
          <w:szCs w:val="20"/>
          <w:vertAlign w:val="superscript"/>
        </w:rPr>
        <w:t>3</w:t>
      </w:r>
      <w:r>
        <w:rPr>
          <w:rFonts w:ascii="Titilium" w:eastAsia="Titilium" w:hAnsi="Titilium" w:cs="Titilium"/>
          <w:color w:val="000000"/>
          <w:sz w:val="20"/>
          <w:szCs w:val="20"/>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4">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r>
      <w:rPr>
        <w:rFonts w:ascii="Arial" w:eastAsia="Arial" w:hAnsi="Arial" w:cs="Arial"/>
        <w:noProof/>
        <w:color w:val="000000"/>
      </w:rPr>
      <w:drawing>
        <wp:anchor distT="0" distB="0" distL="114300" distR="114300" simplePos="0" relativeHeight="251658240" behindDoc="1" locked="0" layoutInCell="1" allowOverlap="1">
          <wp:simplePos x="0" y="0"/>
          <wp:positionH relativeFrom="page">
            <wp:align>left</wp:align>
          </wp:positionH>
          <wp:positionV relativeFrom="paragraph">
            <wp:posOffset>-165100</wp:posOffset>
          </wp:positionV>
          <wp:extent cx="7673340" cy="805180"/>
          <wp:effectExtent l="0" t="0" r="3810" b="0"/>
          <wp:wrapTight wrapText="bothSides">
            <wp:wrapPolygon edited="0">
              <wp:start x="0" y="0"/>
              <wp:lineTo x="0" y="20953"/>
              <wp:lineTo x="21557" y="20953"/>
              <wp:lineTo x="21557" y="0"/>
              <wp:lineTo x="0" y="0"/>
            </wp:wrapPolygon>
          </wp:wrapTight>
          <wp:docPr id="2" name="image1.png" descr="https://lh7-eu.googleusercontent.com/R_cbaG6fgy0mdknlcBBBjCd-WJz7o7x2R9735aLLz3nSbvrDpOAircKLxCfJvIHVikUHiyORkegWagZ3qtFdN7gPDqSwvQ9qB8gN8k8O-j7mg5uWoDAV5Oa7eUSjwZ-uUg4r6ijRAlyc"/>
          <wp:cNvGraphicFramePr/>
          <a:graphic xmlns:a="http://schemas.openxmlformats.org/drawingml/2006/main">
            <a:graphicData uri="http://schemas.openxmlformats.org/drawingml/2006/picture">
              <pic:pic xmlns:pic="http://schemas.openxmlformats.org/drawingml/2006/picture">
                <pic:nvPicPr>
                  <pic:cNvPr id="0" name="image1.png" descr="https://lh7-eu.googleusercontent.com/R_cbaG6fgy0mdknlcBBBjCd-WJz7o7x2R9735aLLz3nSbvrDpOAircKLxCfJvIHVikUHiyORkegWagZ3qtFdN7gPDqSwvQ9qB8gN8k8O-j7mg5uWoDAV5Oa7eUSjwZ-uUg4r6ijRAlyc"/>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673340" cy="805180"/>
                  </a:xfrm>
                  <a:prstGeom prst="rect">
                    <a:avLst/>
                  </a:prstGeom>
                  <a:ln/>
                </pic:spPr>
              </pic:pic>
            </a:graphicData>
          </a:graphic>
          <wp14:sizeRelH relativeFrom="margin">
            <wp14:pctWidth>0</wp14:pctWidth>
          </wp14:sizeRelH>
        </wp:anchor>
      </w:drawing>
    </w:r>
  </w:p>
  <w:p w:rsidR="00B10B08" w:rsidRDefault="000D7D38">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93719"/>
    <w:multiLevelType w:val="multilevel"/>
    <w:tmpl w:val="FB988D6A"/>
    <w:lvl w:ilvl="0">
      <w:start w:val="1"/>
      <w:numFmt w:val="upperLetter"/>
      <w:lvlText w:val="%1."/>
      <w:lvlJc w:val="left"/>
      <w:pPr>
        <w:ind w:left="454" w:hanging="454"/>
      </w:pPr>
      <w:rPr>
        <w:b/>
        <w:i w:val="0"/>
        <w:sz w:val="22"/>
        <w:szCs w:val="22"/>
      </w:rPr>
    </w:lvl>
    <w:lvl w:ilvl="1">
      <w:start w:val="1"/>
      <w:numFmt w:val="lowerLetter"/>
      <w:lvlText w:val="%2)"/>
      <w:lvlJc w:val="left"/>
      <w:pPr>
        <w:ind w:left="568" w:firstLine="0"/>
      </w:pPr>
      <w:rPr>
        <w:b w:val="0"/>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211B3B"/>
    <w:multiLevelType w:val="multilevel"/>
    <w:tmpl w:val="AA527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08"/>
    <w:rsid w:val="000D7D38"/>
    <w:rsid w:val="00330A3D"/>
    <w:rsid w:val="003C3246"/>
    <w:rsid w:val="00933074"/>
    <w:rsid w:val="00984B26"/>
    <w:rsid w:val="00AE0DEF"/>
    <w:rsid w:val="00B10B08"/>
    <w:rsid w:val="00BE7D82"/>
    <w:rsid w:val="00EC03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4034CC-EFCA-41C6-8481-7FBADD9D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idipagina">
    <w:name w:val="footer"/>
    <w:basedOn w:val="Normale"/>
    <w:link w:val="PidipaginaCarattere"/>
    <w:uiPriority w:val="99"/>
    <w:unhideWhenUsed/>
    <w:rsid w:val="00A8437C"/>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A8437C"/>
    <w:rPr>
      <w:lang w:val="it-IT"/>
    </w:rPr>
  </w:style>
  <w:style w:type="paragraph" w:styleId="Testonotaapidipagina">
    <w:name w:val="footnote text"/>
    <w:basedOn w:val="Normale"/>
    <w:link w:val="TestonotaapidipaginaCarattere"/>
    <w:uiPriority w:val="99"/>
    <w:semiHidden/>
    <w:unhideWhenUsed/>
    <w:rsid w:val="00A8437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8437C"/>
    <w:rPr>
      <w:sz w:val="20"/>
      <w:szCs w:val="20"/>
      <w:lang w:val="it-IT"/>
    </w:rPr>
  </w:style>
  <w:style w:type="table" w:styleId="Grigliatabella">
    <w:name w:val="Table Grid"/>
    <w:basedOn w:val="Tabellanormale"/>
    <w:uiPriority w:val="99"/>
    <w:rsid w:val="00A8437C"/>
    <w:pPr>
      <w:spacing w:after="0" w:line="240" w:lineRule="auto"/>
    </w:pPr>
    <w:rPr>
      <w:rFonts w:ascii="Times New Roman" w:eastAsia="Times New Roman" w:hAnsi="Times New Roman" w:cs="Times New Roman"/>
      <w:sz w:val="20"/>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rsid w:val="00A8437C"/>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341CE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41CE8"/>
  </w:style>
  <w:style w:type="table" w:customStyle="1" w:styleId="ab">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198">
      <w:bodyDiv w:val="1"/>
      <w:marLeft w:val="0"/>
      <w:marRight w:val="0"/>
      <w:marTop w:val="0"/>
      <w:marBottom w:val="0"/>
      <w:divBdr>
        <w:top w:val="none" w:sz="0" w:space="0" w:color="auto"/>
        <w:left w:val="none" w:sz="0" w:space="0" w:color="auto"/>
        <w:bottom w:val="none" w:sz="0" w:space="0" w:color="auto"/>
        <w:right w:val="none" w:sz="0" w:space="0" w:color="auto"/>
      </w:divBdr>
    </w:div>
    <w:div w:id="378171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0k8naTS2tBw4jFMwLoX+Gctcog==">CgMxLjAyCGguZ2pkZ3hzMgloLjMwajB6bGw4AHIhMS0wYjZzQVk1RDFzWU5zZXZNUDVwYUhueXlxXzFEQzNk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1812</Words>
  <Characters>10331</Characters>
  <Application>Microsoft Office Word</Application>
  <DocSecurity>0</DocSecurity>
  <Lines>86</Lines>
  <Paragraphs>24</Paragraphs>
  <ScaleCrop>false</ScaleCrop>
  <Company/>
  <LinksUpToDate>false</LinksUpToDate>
  <CharactersWithSpaces>12119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5</cp:revision>
  <dcterms:created xsi:type="dcterms:W3CDTF">2023-11-03T12:15:00Z</dcterms:created>
  <dcterms:modified xsi:type="dcterms:W3CDTF">2024-10-21T20:28:00Z</dcterms:modified>
</cp:coreProperties>
</file>