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2AC3" w:rsidRDefault="00C22AC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hanging="2"/>
        <w:jc w:val="both"/>
        <w:rPr>
          <w:rFonts w:ascii="Titilium" w:eastAsia="Titilium" w:hAnsi="Titilium" w:cs="Titilium"/>
          <w:b/>
          <w:color w:val="1F1F24"/>
          <w:sz w:val="21"/>
          <w:szCs w:val="21"/>
          <w:highlight w:val="white"/>
        </w:rPr>
      </w:pPr>
      <w:bookmarkStart w:id="0" w:name="_heading=h.gjdgxs" w:colFirst="0" w:colLast="0"/>
      <w:bookmarkEnd w:id="0"/>
    </w:p>
    <w:p w:rsidR="00116599" w:rsidRDefault="00116599" w:rsidP="00116599">
      <w:pPr>
        <w:ind w:leftChars="0" w:left="2" w:hanging="2"/>
        <w:jc w:val="both"/>
        <w:rPr>
          <w:rFonts w:ascii="Titillium" w:eastAsia="Titilium" w:hAnsi="Titillium" w:cs="Titilium"/>
          <w:sz w:val="21"/>
          <w:szCs w:val="21"/>
          <w:lang w:eastAsia="it-IT"/>
        </w:rPr>
      </w:pPr>
      <w:r>
        <w:rPr>
          <w:rFonts w:ascii="Titillium" w:eastAsia="Titilium" w:hAnsi="Titillium" w:cs="Titilium"/>
          <w:b/>
          <w:sz w:val="21"/>
          <w:szCs w:val="21"/>
        </w:rPr>
        <w:t>Affidamento diretto per lo studio di compatibilità elettromagnetica a supporto dell’installazione dell’antenna trasmittente del radar “BIRALES”</w:t>
      </w:r>
      <w:r>
        <w:rPr>
          <w:rFonts w:ascii="Titillium" w:eastAsia="Titilium" w:hAnsi="Titillium" w:cs="Titilium"/>
          <w:sz w:val="21"/>
          <w:szCs w:val="21"/>
        </w:rPr>
        <w:t xml:space="preserve"> </w:t>
      </w:r>
      <w:r>
        <w:rPr>
          <w:rFonts w:ascii="Titillium" w:hAnsi="Titillium"/>
          <w:b/>
          <w:sz w:val="21"/>
          <w:szCs w:val="21"/>
        </w:rPr>
        <w:t xml:space="preserve">per le esigenze del Progetto  PNRR - IR0000026 </w:t>
      </w:r>
      <w:proofErr w:type="spellStart"/>
      <w:r>
        <w:rPr>
          <w:rFonts w:ascii="Titillium" w:hAnsi="Titillium"/>
          <w:b/>
          <w:sz w:val="21"/>
          <w:szCs w:val="21"/>
        </w:rPr>
        <w:t>NextGeneration</w:t>
      </w:r>
      <w:proofErr w:type="spellEnd"/>
      <w:r>
        <w:rPr>
          <w:rFonts w:ascii="Titillium" w:hAnsi="Titillium"/>
          <w:b/>
          <w:sz w:val="21"/>
          <w:szCs w:val="21"/>
        </w:rPr>
        <w:t xml:space="preserve"> Croce “NG-CROCE”, Codice Identificativo: IR0000026, Codice Unico di Progetto:  C53C22000880006, ammesso a finanziamento nell’ambito degli "</w:t>
      </w:r>
      <w:r>
        <w:rPr>
          <w:rFonts w:ascii="Titillium" w:hAnsi="Titillium"/>
          <w:b/>
          <w:i/>
          <w:sz w:val="21"/>
          <w:szCs w:val="21"/>
        </w:rPr>
        <w:t>Interventi</w:t>
      </w:r>
      <w:r>
        <w:rPr>
          <w:rFonts w:ascii="Titillium" w:hAnsi="Titillium"/>
          <w:b/>
          <w:sz w:val="21"/>
          <w:szCs w:val="21"/>
        </w:rPr>
        <w:t>" previsti dalla "</w:t>
      </w:r>
      <w:r>
        <w:rPr>
          <w:rFonts w:ascii="Titillium" w:hAnsi="Titillium"/>
          <w:b/>
          <w:i/>
          <w:sz w:val="21"/>
          <w:szCs w:val="21"/>
        </w:rPr>
        <w:t>Missione 4</w:t>
      </w:r>
      <w:r>
        <w:rPr>
          <w:rFonts w:ascii="Titillium" w:hAnsi="Titillium"/>
          <w:b/>
          <w:sz w:val="21"/>
          <w:szCs w:val="21"/>
        </w:rPr>
        <w:t>", denominata "</w:t>
      </w:r>
      <w:r>
        <w:rPr>
          <w:rFonts w:ascii="Titillium" w:hAnsi="Titillium"/>
          <w:b/>
          <w:i/>
          <w:sz w:val="21"/>
          <w:szCs w:val="21"/>
        </w:rPr>
        <w:t>Istruzione e Ricerca</w:t>
      </w:r>
      <w:r>
        <w:rPr>
          <w:rFonts w:ascii="Titillium" w:hAnsi="Titillium"/>
          <w:b/>
          <w:sz w:val="21"/>
          <w:szCs w:val="21"/>
        </w:rPr>
        <w:t>", "</w:t>
      </w:r>
      <w:r>
        <w:rPr>
          <w:rFonts w:ascii="Titillium" w:hAnsi="Titillium"/>
          <w:b/>
          <w:i/>
          <w:sz w:val="21"/>
          <w:szCs w:val="21"/>
        </w:rPr>
        <w:t>Componente 2</w:t>
      </w:r>
      <w:r>
        <w:rPr>
          <w:rFonts w:ascii="Titillium" w:hAnsi="Titillium"/>
          <w:b/>
          <w:sz w:val="21"/>
          <w:szCs w:val="21"/>
        </w:rPr>
        <w:t>", denominata "</w:t>
      </w:r>
      <w:r>
        <w:rPr>
          <w:rFonts w:ascii="Titillium" w:hAnsi="Titillium"/>
          <w:b/>
          <w:i/>
          <w:sz w:val="21"/>
          <w:szCs w:val="21"/>
        </w:rPr>
        <w:t>Dalla Ricerca alla Impresa</w:t>
      </w:r>
      <w:r>
        <w:rPr>
          <w:rFonts w:ascii="Titillium" w:hAnsi="Titillium"/>
          <w:b/>
          <w:sz w:val="21"/>
          <w:szCs w:val="21"/>
        </w:rPr>
        <w:t>" ("</w:t>
      </w:r>
      <w:r>
        <w:rPr>
          <w:rFonts w:ascii="Titillium" w:hAnsi="Titillium"/>
          <w:b/>
          <w:i/>
          <w:sz w:val="21"/>
          <w:szCs w:val="21"/>
        </w:rPr>
        <w:t>M4C2</w:t>
      </w:r>
      <w:r>
        <w:rPr>
          <w:rFonts w:ascii="Titillium" w:hAnsi="Titillium"/>
          <w:b/>
          <w:sz w:val="21"/>
          <w:szCs w:val="21"/>
        </w:rPr>
        <w:t xml:space="preserve">"), </w:t>
      </w:r>
      <w:r>
        <w:rPr>
          <w:rFonts w:ascii="Titillium" w:hAnsi="Titillium"/>
          <w:b/>
          <w:i/>
          <w:sz w:val="21"/>
          <w:szCs w:val="21"/>
        </w:rPr>
        <w:t>Linea di Investimento 3.1", denominata "Rafforzamento e creazione di Infrastrutture di Ricerca", del "Piano Nazionale di Ripresa e Resilienza”</w:t>
      </w:r>
      <w:r>
        <w:rPr>
          <w:rFonts w:ascii="Titillium" w:hAnsi="Titillium"/>
          <w:sz w:val="21"/>
          <w:szCs w:val="21"/>
        </w:rPr>
        <w:t>.</w:t>
      </w:r>
    </w:p>
    <w:p w:rsidR="00116599" w:rsidRDefault="00116599" w:rsidP="00116599">
      <w:pPr>
        <w:autoSpaceDE w:val="0"/>
        <w:autoSpaceDN w:val="0"/>
        <w:adjustRightInd w:val="0"/>
        <w:ind w:leftChars="0" w:left="2" w:hanging="2"/>
        <w:rPr>
          <w:rFonts w:ascii="Titillium" w:eastAsia="Titilium" w:hAnsi="Titillium" w:cs="Titilium"/>
          <w:sz w:val="21"/>
          <w:szCs w:val="21"/>
        </w:rPr>
      </w:pPr>
      <w:r>
        <w:rPr>
          <w:rFonts w:ascii="Titillium" w:eastAsia="Titilium" w:hAnsi="Titillium" w:cs="Titilium"/>
          <w:b/>
          <w:sz w:val="21"/>
          <w:szCs w:val="21"/>
        </w:rPr>
        <w:t>CUI</w:t>
      </w:r>
      <w:r>
        <w:rPr>
          <w:rFonts w:ascii="Titillium" w:eastAsia="Titilium" w:hAnsi="Titillium" w:cs="Titilium"/>
          <w:sz w:val="21"/>
          <w:szCs w:val="21"/>
        </w:rPr>
        <w:t>: S97220210583202300010</w:t>
      </w:r>
    </w:p>
    <w:p w:rsidR="00116599" w:rsidRDefault="00116599" w:rsidP="00116599">
      <w:pPr>
        <w:autoSpaceDE w:val="0"/>
        <w:autoSpaceDN w:val="0"/>
        <w:adjustRightInd w:val="0"/>
        <w:ind w:leftChars="0" w:left="2" w:hanging="2"/>
        <w:rPr>
          <w:rFonts w:ascii="Titillium" w:hAnsi="Titillium" w:cs="Helvetica"/>
          <w:sz w:val="8"/>
          <w:szCs w:val="8"/>
        </w:rPr>
      </w:pPr>
      <w:r>
        <w:rPr>
          <w:rFonts w:ascii="Titillium" w:eastAsia="Titilium" w:hAnsi="Titillium" w:cs="Titilium"/>
          <w:b/>
          <w:sz w:val="21"/>
          <w:szCs w:val="21"/>
        </w:rPr>
        <w:t>CUP</w:t>
      </w:r>
      <w:r>
        <w:rPr>
          <w:rFonts w:ascii="Titillium" w:eastAsia="Titilium" w:hAnsi="Titillium" w:cs="Titilium"/>
          <w:sz w:val="21"/>
          <w:szCs w:val="21"/>
        </w:rPr>
        <w:t>: C53C22000880006</w:t>
      </w:r>
    </w:p>
    <w:p w:rsidR="00116599" w:rsidRDefault="00116599" w:rsidP="00116599">
      <w:pPr>
        <w:ind w:leftChars="0" w:left="2" w:hanging="2"/>
        <w:jc w:val="both"/>
        <w:rPr>
          <w:rFonts w:ascii="Titillium" w:eastAsia="Titilium" w:hAnsi="Titillium" w:cs="Titilium"/>
          <w:sz w:val="21"/>
          <w:szCs w:val="21"/>
        </w:rPr>
      </w:pPr>
      <w:r>
        <w:rPr>
          <w:rFonts w:ascii="Titillium" w:eastAsia="Titilium" w:hAnsi="Titillium" w:cs="Titilium"/>
          <w:b/>
          <w:sz w:val="21"/>
          <w:szCs w:val="21"/>
        </w:rPr>
        <w:t>CPV</w:t>
      </w:r>
      <w:r>
        <w:rPr>
          <w:rFonts w:ascii="Titillium" w:eastAsia="Titilium" w:hAnsi="Titillium" w:cs="Titilium"/>
          <w:sz w:val="21"/>
          <w:szCs w:val="21"/>
        </w:rPr>
        <w:t>: 71241000-9</w:t>
      </w:r>
    </w:p>
    <w:p w:rsidR="006C5994" w:rsidRDefault="006C5994" w:rsidP="00C22AC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Chars="0" w:left="0" w:firstLineChars="0" w:firstLine="0"/>
        <w:jc w:val="both"/>
        <w:rPr>
          <w:rFonts w:ascii="Titilium" w:eastAsia="Titilium" w:hAnsi="Titilium" w:cs="Titilium"/>
          <w:color w:val="1F1F24"/>
          <w:sz w:val="21"/>
          <w:szCs w:val="21"/>
          <w:highlight w:val="white"/>
        </w:rPr>
      </w:pPr>
      <w:bookmarkStart w:id="1" w:name="_GoBack"/>
      <w:bookmarkEnd w:id="1"/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hanging="2"/>
        <w:jc w:val="both"/>
        <w:rPr>
          <w:rFonts w:ascii="Titilium" w:eastAsia="Titilium" w:hAnsi="Titilium" w:cs="Titilium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Il presente documento costituisce parte integrante dell’affidamento</w:t>
      </w:r>
      <w:r>
        <w:rPr>
          <w:rFonts w:ascii="Titilium" w:eastAsia="Titilium" w:hAnsi="Titilium" w:cs="Titilium"/>
          <w:sz w:val="21"/>
          <w:szCs w:val="21"/>
          <w:highlight w:val="white"/>
        </w:rPr>
        <w:t xml:space="preserve"> ai sensi di legge.</w:t>
      </w: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Il presente documento deve essere obbligatoriamente sottoscritto dal Titolare o dal Rappresentante Legale di ciascun partecipante alla procedura e costituirà parte integrante del contratto che sarà stipulato tra lo “</w:t>
      </w:r>
      <w:r>
        <w:rPr>
          <w:rFonts w:ascii="Titilium" w:eastAsia="Titilium" w:hAnsi="Titilium" w:cs="Titilium"/>
          <w:b/>
          <w:i/>
          <w:color w:val="000000"/>
          <w:sz w:val="21"/>
          <w:szCs w:val="21"/>
          <w:highlight w:val="white"/>
        </w:rPr>
        <w:t>Istituto</w:t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” e l’aggiudicatario.</w:t>
      </w:r>
    </w:p>
    <w:p w:rsidR="00F4145F" w:rsidRDefault="00F4145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Titilium" w:eastAsia="Titilium" w:hAnsi="Titilium" w:cs="Titilium"/>
          <w:color w:val="000000"/>
          <w:sz w:val="21"/>
          <w:szCs w:val="21"/>
          <w:highlight w:val="white"/>
          <w:u w:val="single"/>
        </w:rPr>
      </w:pP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Titilium" w:eastAsia="Titilium" w:hAnsi="Titilium" w:cs="Titilium"/>
          <w:color w:val="000000"/>
          <w:sz w:val="21"/>
          <w:szCs w:val="21"/>
          <w:highlight w:val="white"/>
          <w:u w:val="single"/>
        </w:rPr>
      </w:pPr>
      <w:r>
        <w:rPr>
          <w:rFonts w:ascii="Titilium" w:eastAsia="Titilium" w:hAnsi="Titilium" w:cs="Titilium"/>
          <w:b/>
          <w:color w:val="000000"/>
          <w:sz w:val="21"/>
          <w:szCs w:val="21"/>
          <w:highlight w:val="white"/>
          <w:u w:val="single"/>
        </w:rPr>
        <w:t>Patto di integrità</w:t>
      </w:r>
    </w:p>
    <w:p w:rsidR="00F4145F" w:rsidRDefault="00F4145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Titilium" w:eastAsia="Titilium" w:hAnsi="Titilium" w:cs="Titilium"/>
          <w:color w:val="000000"/>
          <w:sz w:val="21"/>
          <w:szCs w:val="21"/>
          <w:highlight w:val="white"/>
          <w:u w:val="single"/>
        </w:rPr>
      </w:pP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Tra lo "</w:t>
      </w:r>
      <w:r>
        <w:rPr>
          <w:rFonts w:ascii="Titilium" w:eastAsia="Titilium" w:hAnsi="Titilium" w:cs="Titilium"/>
          <w:b/>
          <w:i/>
          <w:color w:val="000000"/>
          <w:sz w:val="21"/>
          <w:szCs w:val="21"/>
          <w:highlight w:val="white"/>
        </w:rPr>
        <w:t>Istituto Nazionale di Astrofisica</w:t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"</w:t>
      </w:r>
      <w:r>
        <w:rPr>
          <w:rFonts w:ascii="Titilium" w:eastAsia="Titilium" w:hAnsi="Titilium" w:cs="Titilium"/>
          <w:b/>
          <w:color w:val="000000"/>
          <w:sz w:val="21"/>
          <w:szCs w:val="21"/>
          <w:highlight w:val="white"/>
        </w:rPr>
        <w:t xml:space="preserve"> </w:t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 xml:space="preserve">nel seguito denominato </w:t>
      </w:r>
      <w:r>
        <w:rPr>
          <w:rFonts w:ascii="Titilium" w:eastAsia="Titilium" w:hAnsi="Titilium" w:cs="Titilium"/>
          <w:b/>
          <w:i/>
          <w:color w:val="000000"/>
          <w:sz w:val="21"/>
          <w:szCs w:val="21"/>
          <w:highlight w:val="white"/>
        </w:rPr>
        <w:t>Istituto</w:t>
      </w: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E</w:t>
      </w: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(Denominazione operatore economico________________________________________</w:t>
      </w: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Sede legale: ____________________________________________________________</w:t>
      </w: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Codice fiscale: ___________________________________________________________</w:t>
      </w: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Partita IVA_______________________________________________________________</w:t>
      </w: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Rappresentata da: _______________________________________________________</w:t>
      </w: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Nato a: ___________________il_________________________, in qualità di: ___________________________________Munito dei relativi poteri</w:t>
      </w:r>
    </w:p>
    <w:p w:rsidR="00F4145F" w:rsidRDefault="00F4145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  <w:u w:val="single"/>
        </w:rPr>
      </w:pPr>
      <w:r>
        <w:rPr>
          <w:rFonts w:ascii="Titilium" w:eastAsia="Titilium" w:hAnsi="Titilium" w:cs="Titilium"/>
          <w:b/>
          <w:color w:val="000000"/>
          <w:sz w:val="21"/>
          <w:szCs w:val="21"/>
          <w:highlight w:val="white"/>
        </w:rPr>
        <w:lastRenderedPageBreak/>
        <w:t>Premesso</w:t>
      </w:r>
    </w:p>
    <w:p w:rsidR="00F4145F" w:rsidRDefault="00C4564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Che per "Patto di Integrità" si intende un accordo avente ad oggetto la regolamentazione del comportamento ispirato ai principi di lealtà, trasparenza e correttezza, nonché l'espresso impegno anticorruzione di non offrire, accettare o richiedere somme di denaro o qualsiasi altra ricompensa, vantaggio o beneficio, sia direttamente che indirettamente, tramite intermediari, al fine dell'assegnazione del contratto e/o al fine di distorcerne la relativa corretta esecuzione;</w:t>
      </w:r>
    </w:p>
    <w:p w:rsidR="00F4145F" w:rsidRDefault="00C4564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Che con l'inserimento del "Patto di Integrità" nella documentazione di gara si intende garantire una leale concorrenza e pari opportunità di successo a tutti i partecipanti, nonché garantire una corretta e trasparente esecuzione del procedimento di selezione e affidamento;</w:t>
      </w:r>
    </w:p>
    <w:p w:rsidR="00F4145F" w:rsidRDefault="00C4564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Che lo “</w:t>
      </w:r>
      <w:r>
        <w:rPr>
          <w:rFonts w:ascii="Titilium" w:eastAsia="Titilium" w:hAnsi="Titilium" w:cs="Titilium"/>
          <w:b/>
          <w:i/>
          <w:color w:val="000000"/>
          <w:sz w:val="21"/>
          <w:szCs w:val="21"/>
          <w:highlight w:val="white"/>
        </w:rPr>
        <w:t>Istituto</w:t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”, in adesione ai principi della trasparenza delle attività amministrative, secondo le modalità e condizioni indicate di seguito, verificherà l'applicazione del "Patto di Integrità" sia da parte dei partecipanti alla Trattativa, sia da parte dei propri dipendenti, collaboratori e consulenti impegnati ad ogni livello dell'espletamento della gara e nel controllo dell'esecuzione del relativo contratto.</w:t>
      </w: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b/>
          <w:color w:val="000000"/>
          <w:sz w:val="21"/>
          <w:szCs w:val="21"/>
          <w:highlight w:val="white"/>
        </w:rPr>
        <w:t>Visti</w:t>
      </w:r>
    </w:p>
    <w:p w:rsidR="00F4145F" w:rsidRDefault="00F4145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</w:p>
    <w:p w:rsidR="00F4145F" w:rsidRDefault="00C4564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La Legge 6 novembre 2012 n. 190, articolo 1, comma 17, che contiene "</w:t>
      </w:r>
      <w:r>
        <w:rPr>
          <w:rFonts w:ascii="Titilium" w:eastAsia="Titilium" w:hAnsi="Titilium" w:cs="Titilium"/>
          <w:i/>
          <w:color w:val="000000"/>
          <w:sz w:val="21"/>
          <w:szCs w:val="21"/>
          <w:highlight w:val="white"/>
        </w:rPr>
        <w:t>Disposizioni per la prevenzione e la repressione della corruzione e dell'illegalità nella pubblica amministrazione</w:t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";</w:t>
      </w:r>
    </w:p>
    <w:p w:rsidR="00F4145F" w:rsidRDefault="00C4564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Il Decreto Legislativo 25 maggio 2016, numero 97, che contiene la “</w:t>
      </w:r>
      <w:r>
        <w:rPr>
          <w:rFonts w:ascii="Titilium" w:eastAsia="Titilium" w:hAnsi="Titilium" w:cs="Titilium"/>
          <w:i/>
          <w:color w:val="000000"/>
          <w:sz w:val="21"/>
          <w:szCs w:val="21"/>
          <w:highlight w:val="white"/>
        </w:rPr>
        <w:t>Revisione e semplificazione delle disposizioni in materia di prevenzione della corruzione, pubblicità e trasparenza, correttivo della legge 6 novembre 2012, n. 190, e del decreto legislativo 14 marzo 2013, n. 33, ai sensi dell’art.7 della legge 7 agosto 2015, n. 124, in materia di riorganizzazione delle amministrazioni pubbliche</w:t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”;</w:t>
      </w:r>
    </w:p>
    <w:p w:rsidR="00F4145F" w:rsidRDefault="00C45645">
      <w:pPr>
        <w:numPr>
          <w:ilvl w:val="0"/>
          <w:numId w:val="2"/>
        </w:numPr>
        <w:spacing w:line="360" w:lineRule="auto"/>
        <w:ind w:left="0" w:hanging="2"/>
        <w:jc w:val="both"/>
        <w:rPr>
          <w:rFonts w:ascii="Titilium" w:eastAsia="Titilium" w:hAnsi="Titilium" w:cs="Titilium"/>
          <w:sz w:val="21"/>
          <w:szCs w:val="21"/>
          <w:highlight w:val="white"/>
        </w:rPr>
      </w:pPr>
      <w:r>
        <w:rPr>
          <w:rFonts w:ascii="Titilium" w:eastAsia="Titilium" w:hAnsi="Titilium" w:cs="Titilium"/>
          <w:sz w:val="21"/>
          <w:szCs w:val="21"/>
          <w:highlight w:val="white"/>
        </w:rPr>
        <w:t>Decreto legislativo 31 marzo 2023, n. 36,  “</w:t>
      </w:r>
      <w:r>
        <w:rPr>
          <w:rFonts w:ascii="Titilium" w:eastAsia="Titilium" w:hAnsi="Titilium" w:cs="Titilium"/>
          <w:i/>
          <w:sz w:val="21"/>
          <w:szCs w:val="21"/>
          <w:highlight w:val="white"/>
        </w:rPr>
        <w:t>Codice dei contratti pubblici”</w:t>
      </w:r>
      <w:r>
        <w:rPr>
          <w:rFonts w:ascii="Titilium" w:eastAsia="Titilium" w:hAnsi="Titilium" w:cs="Titilium"/>
          <w:sz w:val="21"/>
          <w:szCs w:val="21"/>
          <w:highlight w:val="white"/>
        </w:rPr>
        <w:t xml:space="preserve"> in attuazione dell'</w:t>
      </w:r>
      <w:hyperlink r:id="rId8" w:anchor="_inizio">
        <w:r>
          <w:rPr>
            <w:rFonts w:ascii="Titilium" w:eastAsia="Titilium" w:hAnsi="Titilium" w:cs="Titilium"/>
            <w:sz w:val="21"/>
            <w:szCs w:val="21"/>
            <w:highlight w:val="white"/>
          </w:rPr>
          <w:t>articolo 1 della legge 21 giugno 2022, n. 78</w:t>
        </w:r>
      </w:hyperlink>
      <w:r>
        <w:rPr>
          <w:rFonts w:ascii="Titilium" w:eastAsia="Titilium" w:hAnsi="Titilium" w:cs="Titilium"/>
          <w:sz w:val="21"/>
          <w:szCs w:val="21"/>
          <w:highlight w:val="white"/>
        </w:rPr>
        <w:t>, recante delega al Governo in materia di contratti pubblici, pubblicato in  G.U. n. 77 del 31 marzo 2023 - S.O. n. 12;</w:t>
      </w:r>
    </w:p>
    <w:p w:rsidR="00F4145F" w:rsidRDefault="00C4564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Il “</w:t>
      </w:r>
      <w:r>
        <w:rPr>
          <w:rFonts w:ascii="Titilium" w:eastAsia="Titilium" w:hAnsi="Titilium" w:cs="Titilium"/>
          <w:b/>
          <w:i/>
          <w:color w:val="000000"/>
          <w:sz w:val="21"/>
          <w:szCs w:val="21"/>
          <w:highlight w:val="white"/>
        </w:rPr>
        <w:t>Piano Nazionale Anticorruzione 2022</w:t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”, approvato dalla “</w:t>
      </w:r>
      <w:r>
        <w:rPr>
          <w:rFonts w:ascii="Titilium" w:eastAsia="Titilium" w:hAnsi="Titilium" w:cs="Titilium"/>
          <w:b/>
          <w:i/>
          <w:color w:val="000000"/>
          <w:sz w:val="21"/>
          <w:szCs w:val="21"/>
          <w:highlight w:val="white"/>
        </w:rPr>
        <w:t>Autorità Nazionale Anticorruzione</w:t>
      </w:r>
      <w:r>
        <w:rPr>
          <w:rFonts w:ascii="Titilium" w:eastAsia="Titilium" w:hAnsi="Titilium" w:cs="Titilium"/>
          <w:i/>
          <w:color w:val="000000"/>
          <w:sz w:val="21"/>
          <w:szCs w:val="21"/>
          <w:highlight w:val="white"/>
        </w:rPr>
        <w:t>”</w:t>
      </w:r>
      <w:r>
        <w:rPr>
          <w:rFonts w:ascii="Titilium" w:eastAsia="Titilium" w:hAnsi="Titilium" w:cs="Titilium"/>
          <w:b/>
          <w:i/>
          <w:color w:val="000000"/>
          <w:sz w:val="21"/>
          <w:szCs w:val="21"/>
          <w:highlight w:val="white"/>
        </w:rPr>
        <w:t xml:space="preserve"> </w:t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(</w:t>
      </w:r>
      <w:r>
        <w:rPr>
          <w:rFonts w:ascii="Titilium" w:eastAsia="Titilium" w:hAnsi="Titilium" w:cs="Titilium"/>
          <w:b/>
          <w:i/>
          <w:color w:val="000000"/>
          <w:sz w:val="21"/>
          <w:szCs w:val="21"/>
          <w:highlight w:val="white"/>
        </w:rPr>
        <w:t>ANAC</w:t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), con Delibera del 17 gennaio 2023, numero 7;</w:t>
      </w:r>
    </w:p>
    <w:p w:rsidR="00F4145F" w:rsidRDefault="00C4564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Il “</w:t>
      </w:r>
      <w:r>
        <w:rPr>
          <w:rFonts w:ascii="Titilium" w:eastAsia="Titilium" w:hAnsi="Titilium" w:cs="Titilium"/>
          <w:b/>
          <w:i/>
          <w:color w:val="000000"/>
          <w:sz w:val="21"/>
          <w:szCs w:val="21"/>
          <w:highlight w:val="white"/>
        </w:rPr>
        <w:t>Piano integrato di attività e organizzazione</w:t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” 2023-2025 dello “</w:t>
      </w:r>
      <w:r>
        <w:rPr>
          <w:rFonts w:ascii="Titilium" w:eastAsia="Titilium" w:hAnsi="Titilium" w:cs="Titilium"/>
          <w:b/>
          <w:i/>
          <w:color w:val="000000"/>
          <w:sz w:val="21"/>
          <w:szCs w:val="21"/>
          <w:highlight w:val="white"/>
        </w:rPr>
        <w:t>Istituto Nazionale di Astrofisica</w:t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” approvato con Delibera del Consiglio di Amministrazione del 31 marzo 2023, numero 19;</w:t>
      </w:r>
    </w:p>
    <w:p w:rsidR="00F4145F" w:rsidRDefault="00C4564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Il Decreto del Presidente della Repubblica 16 aprile 2013, numero 62, con il quale è stato emanato il "</w:t>
      </w:r>
      <w:r>
        <w:rPr>
          <w:rFonts w:ascii="Titilium" w:eastAsia="Titilium" w:hAnsi="Titilium" w:cs="Titilium"/>
          <w:b/>
          <w:i/>
          <w:color w:val="000000"/>
          <w:sz w:val="21"/>
          <w:szCs w:val="21"/>
          <w:highlight w:val="white"/>
        </w:rPr>
        <w:t>Regolamento recante il codice di comportamento dei dipendenti pubblici</w:t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".</w:t>
      </w:r>
    </w:p>
    <w:p w:rsidR="00F4145F" w:rsidRDefault="00C4564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Il “</w:t>
      </w:r>
      <w:r>
        <w:rPr>
          <w:rFonts w:ascii="Titilium" w:eastAsia="Titilium" w:hAnsi="Titilium" w:cs="Titilium"/>
          <w:b/>
          <w:i/>
          <w:color w:val="000000"/>
          <w:sz w:val="21"/>
          <w:szCs w:val="21"/>
          <w:highlight w:val="white"/>
        </w:rPr>
        <w:t>Codice di comportamento</w:t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” dello “</w:t>
      </w:r>
      <w:r>
        <w:rPr>
          <w:rFonts w:ascii="Titilium" w:eastAsia="Titilium" w:hAnsi="Titilium" w:cs="Titilium"/>
          <w:b/>
          <w:i/>
          <w:color w:val="000000"/>
          <w:sz w:val="21"/>
          <w:szCs w:val="21"/>
          <w:highlight w:val="white"/>
        </w:rPr>
        <w:t>Istituto Nazionale di Astrofisica</w:t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” approvato con Delibera del Consiglio di Amministrazione del 4 novembre 2015, numero 18.</w:t>
      </w:r>
    </w:p>
    <w:p w:rsidR="00F4145F" w:rsidRDefault="00F4145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  <w:u w:val="single"/>
        </w:rPr>
      </w:pP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  <w:u w:val="single"/>
        </w:rPr>
        <w:lastRenderedPageBreak/>
        <w:t>Si conviene quanto segue</w:t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:</w:t>
      </w:r>
    </w:p>
    <w:p w:rsidR="00F4145F" w:rsidRDefault="00F4145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bookmarkStart w:id="2" w:name="_heading=h.30j0zll" w:colFirst="0" w:colLast="0"/>
      <w:bookmarkEnd w:id="2"/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b/>
          <w:color w:val="000000"/>
          <w:sz w:val="21"/>
          <w:szCs w:val="21"/>
          <w:highlight w:val="white"/>
        </w:rPr>
        <w:t>Articolo 1</w:t>
      </w: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Il “</w:t>
      </w:r>
      <w:r>
        <w:rPr>
          <w:rFonts w:ascii="Titilium" w:eastAsia="Titilium" w:hAnsi="Titilium" w:cs="Titilium"/>
          <w:i/>
          <w:color w:val="000000"/>
          <w:sz w:val="21"/>
          <w:szCs w:val="21"/>
          <w:highlight w:val="white"/>
        </w:rPr>
        <w:t>Patto di Integrità</w:t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” deve essere presentato insieme alla documentazione richiesta a corredo della offerta. L’assenza di questo documento, debitamente sottoscritto, comporterà l'esclusione dalla gara.</w:t>
      </w: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b/>
          <w:color w:val="000000"/>
          <w:sz w:val="21"/>
          <w:szCs w:val="21"/>
          <w:highlight w:val="white"/>
        </w:rPr>
        <w:t>Articolo 2</w:t>
      </w: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Il “</w:t>
      </w:r>
      <w:r>
        <w:rPr>
          <w:rFonts w:ascii="Titilium" w:eastAsia="Titilium" w:hAnsi="Titilium" w:cs="Titilium"/>
          <w:i/>
          <w:color w:val="000000"/>
          <w:sz w:val="21"/>
          <w:szCs w:val="21"/>
          <w:highlight w:val="white"/>
        </w:rPr>
        <w:t>Patto di Integrità</w:t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 xml:space="preserve">” costituirà parte integrante di qualsiasi contratto stipulato con l’Ente. </w:t>
      </w: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b/>
          <w:color w:val="000000"/>
          <w:sz w:val="21"/>
          <w:szCs w:val="21"/>
          <w:highlight w:val="white"/>
        </w:rPr>
        <w:t>Articolo 3</w:t>
      </w: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48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Il “</w:t>
      </w:r>
      <w:r>
        <w:rPr>
          <w:rFonts w:ascii="Titilium" w:eastAsia="Titilium" w:hAnsi="Titilium" w:cs="Titilium"/>
          <w:i/>
          <w:color w:val="000000"/>
          <w:sz w:val="21"/>
          <w:szCs w:val="21"/>
          <w:highlight w:val="white"/>
        </w:rPr>
        <w:t>Patto di Integrità</w:t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” stabilisce la reciproca, formale obbligazione dello “</w:t>
      </w:r>
      <w:r>
        <w:rPr>
          <w:rFonts w:ascii="Titilium" w:eastAsia="Titilium" w:hAnsi="Titilium" w:cs="Titilium"/>
          <w:b/>
          <w:i/>
          <w:color w:val="000000"/>
          <w:sz w:val="21"/>
          <w:szCs w:val="21"/>
          <w:highlight w:val="white"/>
        </w:rPr>
        <w:t>Istituto</w:t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 xml:space="preserve">” e di tutti i potenziali contraenti a conformare i propri comportamenti ai principi di lealtà, trasparenza e correttezza nonché l'espresso impegno anticorruzione, consistente, tra l'altro, nel non offrire, accettare o richiedere somme di denaro o qualsiasi altra ricompensa, vantaggio o beneficio, sia direttamente che indirettamente tramite intermediari, al fine dell'assegnazione del contratto e/o al fine di distorcerne la relativa corretta esecuzione o valutazione da parte della stazione appaltante. </w:t>
      </w: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b/>
          <w:color w:val="000000"/>
          <w:sz w:val="21"/>
          <w:szCs w:val="21"/>
          <w:highlight w:val="white"/>
        </w:rPr>
        <w:t>Articolo 4</w:t>
      </w: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Lo “</w:t>
      </w:r>
      <w:r>
        <w:rPr>
          <w:rFonts w:ascii="Titilium" w:eastAsia="Titilium" w:hAnsi="Titilium" w:cs="Titilium"/>
          <w:b/>
          <w:i/>
          <w:color w:val="000000"/>
          <w:sz w:val="21"/>
          <w:szCs w:val="21"/>
          <w:highlight w:val="white"/>
        </w:rPr>
        <w:t>Istituto</w:t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” si impegna a pubblicare sul sito istituzionale i dati, le informazioni e i documenti inerenti la gara, ai sensi del Decreto Legislativo 14 marzo 2013, numero 33.</w:t>
      </w: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b/>
          <w:color w:val="000000"/>
          <w:sz w:val="21"/>
          <w:szCs w:val="21"/>
          <w:highlight w:val="white"/>
        </w:rPr>
        <w:t>Articolo 5</w:t>
      </w: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Il sottoscritto operatore economico si impegna a segnalare allo “</w:t>
      </w:r>
      <w:r>
        <w:rPr>
          <w:rFonts w:ascii="Titilium" w:eastAsia="Titilium" w:hAnsi="Titilium" w:cs="Titilium"/>
          <w:b/>
          <w:i/>
          <w:color w:val="000000"/>
          <w:sz w:val="21"/>
          <w:szCs w:val="21"/>
          <w:highlight w:val="white"/>
        </w:rPr>
        <w:t>Istituto</w:t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” qualsiasi tentativo di turbativa, irregolarità o distorsione nelle fasi di svolgimento della gara e/o durante l'esecuzione del contratto, da parte di ogni interessato o addetto o di chiunque possa influenzare le decisioni di gara o di contratto.</w:t>
      </w: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b/>
          <w:color w:val="000000"/>
          <w:sz w:val="21"/>
          <w:szCs w:val="21"/>
          <w:highlight w:val="white"/>
        </w:rPr>
        <w:t>Articolo 6</w:t>
      </w: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Titilium" w:eastAsia="Titilium" w:hAnsi="Titilium" w:cs="Titilium"/>
          <w:sz w:val="21"/>
          <w:szCs w:val="21"/>
          <w:highlight w:val="white"/>
        </w:rPr>
      </w:pPr>
      <w:r>
        <w:rPr>
          <w:rFonts w:ascii="Titilium" w:eastAsia="Titilium" w:hAnsi="Titilium" w:cs="Titilium"/>
          <w:sz w:val="21"/>
          <w:szCs w:val="21"/>
          <w:highlight w:val="white"/>
        </w:rPr>
        <w:t>Il sottoscritto operatore economico dichiara, altresì, che non si è accordato e non si accorderà con altri soggetti interessati all'assegnazione del contratto per limitare in alcun modo la concorrenza.</w:t>
      </w: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Titilium" w:eastAsia="Titilium" w:hAnsi="Titilium" w:cs="Titilium"/>
          <w:sz w:val="21"/>
          <w:szCs w:val="21"/>
          <w:highlight w:val="white"/>
        </w:rPr>
      </w:pPr>
      <w:r>
        <w:rPr>
          <w:rFonts w:ascii="Titilium" w:eastAsia="Titilium" w:hAnsi="Titilium" w:cs="Titilium"/>
          <w:sz w:val="21"/>
          <w:szCs w:val="21"/>
          <w:highlight w:val="white"/>
        </w:rPr>
        <w:t>L'operatore economico sarà altresì tenuto responsabile nei confronti dello “Istituto” del comportamento degli operatori economici a lui collegati.</w:t>
      </w:r>
    </w:p>
    <w:p w:rsidR="00F4145F" w:rsidRDefault="00F4145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Titilium" w:eastAsia="Titilium" w:hAnsi="Titilium" w:cs="Titilium"/>
          <w:sz w:val="21"/>
          <w:szCs w:val="21"/>
          <w:highlight w:val="white"/>
        </w:rPr>
      </w:pP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b/>
          <w:color w:val="000000"/>
          <w:sz w:val="21"/>
          <w:szCs w:val="21"/>
          <w:highlight w:val="white"/>
        </w:rPr>
        <w:lastRenderedPageBreak/>
        <w:t>Articolo 7</w:t>
      </w: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Il presente “</w:t>
      </w:r>
      <w:r>
        <w:rPr>
          <w:rFonts w:ascii="Titilium" w:eastAsia="Titilium" w:hAnsi="Titilium" w:cs="Titilium"/>
          <w:i/>
          <w:color w:val="000000"/>
          <w:sz w:val="21"/>
          <w:szCs w:val="21"/>
          <w:highlight w:val="white"/>
        </w:rPr>
        <w:t>Patto di Integrità</w:t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”, composto da quattro pagine, deve essere obbligatoriamente sottoscritto in calce dal legale rappresentante della Impresa che presenti domanda e, in caso di Raggruppamento Temporaneo di Imprese o di Consorzio non ancora costituiti, da tutti i soggetti che costituiranno, in seguito, il predetto Raggruppamento Temporaneo di Imprese o Consorzio.</w:t>
      </w:r>
    </w:p>
    <w:p w:rsidR="00F4145F" w:rsidRDefault="00F4145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Luogo e data____________________________</w:t>
      </w: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ab/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ab/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ab/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ab/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ab/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ab/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ab/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ab/>
        <w:t>Per la Impresa</w:t>
      </w: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ab/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ab/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ab/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ab/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ab/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ab/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ab/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ab/>
        <w:t>(Firma del Legale Rappresentante)</w:t>
      </w:r>
    </w:p>
    <w:sectPr w:rsidR="00F4145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5564" w:rsidRDefault="00D75564">
      <w:pPr>
        <w:spacing w:after="0" w:line="240" w:lineRule="auto"/>
        <w:ind w:left="0"/>
      </w:pPr>
      <w:r>
        <w:separator/>
      </w:r>
    </w:p>
  </w:endnote>
  <w:endnote w:type="continuationSeparator" w:id="0">
    <w:p w:rsidR="00D75564" w:rsidRDefault="00D75564">
      <w:pPr>
        <w:spacing w:after="0" w:line="240" w:lineRule="auto"/>
        <w:ind w:left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tilium">
    <w:altName w:val="Times New Roman"/>
    <w:charset w:val="00"/>
    <w:family w:val="auto"/>
    <w:pitch w:val="default"/>
  </w:font>
  <w:font w:name="Titillium"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145F" w:rsidRDefault="00F4145F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145F" w:rsidRDefault="00C45645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116599">
      <w:rPr>
        <w:noProof/>
        <w:color w:val="000000"/>
      </w:rPr>
      <w:t>1</w:t>
    </w:r>
    <w:r>
      <w:rPr>
        <w:color w:val="000000"/>
      </w:rPr>
      <w:fldChar w:fldCharType="end"/>
    </w:r>
  </w:p>
  <w:p w:rsidR="00F4145F" w:rsidRDefault="00F4145F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145F" w:rsidRDefault="00F4145F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5564" w:rsidRDefault="00D75564">
      <w:pPr>
        <w:spacing w:after="0" w:line="240" w:lineRule="auto"/>
        <w:ind w:left="0"/>
      </w:pPr>
      <w:r>
        <w:separator/>
      </w:r>
    </w:p>
  </w:footnote>
  <w:footnote w:type="continuationSeparator" w:id="0">
    <w:p w:rsidR="00D75564" w:rsidRDefault="00D75564">
      <w:pPr>
        <w:spacing w:after="0" w:line="240" w:lineRule="auto"/>
        <w:ind w:left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145F" w:rsidRDefault="00F4145F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145F" w:rsidRDefault="00EC5933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/>
      <w:rPr>
        <w:color w:val="000000"/>
      </w:rPr>
    </w:pPr>
    <w:r>
      <w:rPr>
        <w:noProof/>
        <w:lang w:eastAsia="it-IT"/>
      </w:rPr>
      <w:drawing>
        <wp:anchor distT="0" distB="0" distL="114300" distR="114300" simplePos="0" relativeHeight="251658240" behindDoc="0" locked="0" layoutInCell="1" allowOverlap="1" wp14:anchorId="246FF283" wp14:editId="75B73EEA">
          <wp:simplePos x="0" y="0"/>
          <wp:positionH relativeFrom="page">
            <wp:align>left</wp:align>
          </wp:positionH>
          <wp:positionV relativeFrom="paragraph">
            <wp:posOffset>-449580</wp:posOffset>
          </wp:positionV>
          <wp:extent cx="7559040" cy="922020"/>
          <wp:effectExtent l="0" t="0" r="3810" b="0"/>
          <wp:wrapNone/>
          <wp:docPr id="102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59040" cy="92202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45645">
      <w:rPr>
        <w:color w:val="000000"/>
      </w:rPr>
      <w:tab/>
    </w:r>
  </w:p>
  <w:p w:rsidR="00F4145F" w:rsidRDefault="00F4145F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/>
      <w:rPr>
        <w:color w:val="000000"/>
      </w:rPr>
    </w:pPr>
  </w:p>
  <w:p w:rsidR="00F4145F" w:rsidRDefault="00C45645">
    <w:pPr>
      <w:pBdr>
        <w:top w:val="nil"/>
        <w:left w:val="nil"/>
        <w:bottom w:val="nil"/>
        <w:right w:val="nil"/>
        <w:between w:val="nil"/>
      </w:pBdr>
      <w:tabs>
        <w:tab w:val="center" w:pos="4320"/>
      </w:tabs>
      <w:spacing w:after="0" w:line="240" w:lineRule="auto"/>
      <w:ind w:left="0"/>
      <w:rPr>
        <w:rFonts w:ascii="Titilium" w:eastAsia="Titilium" w:hAnsi="Titilium" w:cs="Titilium"/>
        <w:color w:val="000000"/>
        <w:sz w:val="21"/>
        <w:szCs w:val="21"/>
      </w:rPr>
    </w:pPr>
    <w:r>
      <w:rPr>
        <w:color w:val="000000"/>
      </w:rPr>
      <w:t xml:space="preserve">                                                  </w:t>
    </w:r>
  </w:p>
  <w:p w:rsidR="00F4145F" w:rsidRDefault="00F4145F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/>
      <w:rPr>
        <w:color w:val="000000"/>
      </w:rPr>
    </w:pPr>
  </w:p>
  <w:p w:rsidR="00F4145F" w:rsidRDefault="00F4145F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145F" w:rsidRDefault="00F4145F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406C98"/>
    <w:multiLevelType w:val="multilevel"/>
    <w:tmpl w:val="9C3C2970"/>
    <w:lvl w:ilvl="0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 w15:restartNumberingAfterBreak="0">
    <w:nsid w:val="70AF479A"/>
    <w:multiLevelType w:val="multilevel"/>
    <w:tmpl w:val="1FFC5FC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45F"/>
    <w:rsid w:val="00116599"/>
    <w:rsid w:val="005F4B23"/>
    <w:rsid w:val="00660C71"/>
    <w:rsid w:val="00684466"/>
    <w:rsid w:val="006B0A2F"/>
    <w:rsid w:val="006C5994"/>
    <w:rsid w:val="00C22AC3"/>
    <w:rsid w:val="00C45645"/>
    <w:rsid w:val="00D75564"/>
    <w:rsid w:val="00EC5933"/>
    <w:rsid w:val="00F41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5F7FC76-19FF-454C-B81E-E015C5E47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200" w:line="276" w:lineRule="auto"/>
        <w:ind w:hang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suppressAutoHyphens/>
      <w:ind w:leftChars="-1" w:left="-1" w:hangingChars="1"/>
      <w:textDirection w:val="btLr"/>
      <w:textAlignment w:val="top"/>
      <w:outlineLvl w:val="0"/>
    </w:pPr>
    <w:rPr>
      <w:position w:val="-1"/>
      <w:lang w:eastAsia="en-US"/>
    </w:rPr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spacing w:before="240" w:after="60"/>
      <w:outlineLvl w:val="4"/>
    </w:pPr>
    <w:rPr>
      <w:rFonts w:eastAsia="Times New Roman" w:cs="Times New Roman"/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Intestazione">
    <w:name w:val="header"/>
    <w:basedOn w:val="Normale"/>
    <w:uiPriority w:val="99"/>
    <w:qFormat/>
    <w:pPr>
      <w:spacing w:after="0" w:line="240" w:lineRule="auto"/>
    </w:pPr>
  </w:style>
  <w:style w:type="character" w:customStyle="1" w:styleId="IntestazioneCarattere">
    <w:name w:val="Intestazione Carattere"/>
    <w:basedOn w:val="Carpredefinitoparagrafo"/>
    <w:uiPriority w:val="99"/>
    <w:rPr>
      <w:w w:val="100"/>
      <w:position w:val="-1"/>
      <w:effect w:val="none"/>
      <w:vertAlign w:val="baseline"/>
      <w:cs w:val="0"/>
      <w:em w:val="none"/>
    </w:rPr>
  </w:style>
  <w:style w:type="paragraph" w:styleId="Pidipagina">
    <w:name w:val="footer"/>
    <w:basedOn w:val="Normale"/>
    <w:qFormat/>
    <w:pPr>
      <w:spacing w:after="0" w:line="240" w:lineRule="auto"/>
    </w:pPr>
  </w:style>
  <w:style w:type="character" w:customStyle="1" w:styleId="PidipaginaCarattere">
    <w:name w:val="Piè di pagina Carattere"/>
    <w:basedOn w:val="Carpredefinitoparagrafo"/>
    <w:rPr>
      <w:w w:val="100"/>
      <w:position w:val="-1"/>
      <w:effect w:val="none"/>
      <w:vertAlign w:val="baseline"/>
      <w:cs w:val="0"/>
      <w:em w:val="none"/>
    </w:rPr>
  </w:style>
  <w:style w:type="paragraph" w:styleId="Testofumetto">
    <w:name w:val="Balloon Text"/>
    <w:basedOn w:val="Normale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Paragrafoelenco">
    <w:name w:val="List Paragraph"/>
    <w:basedOn w:val="Normale"/>
    <w:pPr>
      <w:ind w:left="720"/>
      <w:contextualSpacing/>
    </w:pPr>
  </w:style>
  <w:style w:type="character" w:customStyle="1" w:styleId="Titolo5Carattere">
    <w:name w:val="Titolo 5 Carattere"/>
    <w:rPr>
      <w:rFonts w:ascii="Calibri" w:eastAsia="Times New Roman" w:hAnsi="Calibri" w:cs="Times New Roman"/>
      <w:b/>
      <w:bCs/>
      <w:i/>
      <w:iCs/>
      <w:w w:val="100"/>
      <w:position w:val="-1"/>
      <w:sz w:val="26"/>
      <w:szCs w:val="26"/>
      <w:effect w:val="none"/>
      <w:vertAlign w:val="baseline"/>
      <w:cs w:val="0"/>
      <w:em w:val="none"/>
      <w:lang w:val="it-IT"/>
    </w:rPr>
  </w:style>
  <w:style w:type="character" w:customStyle="1" w:styleId="Titolo2Carattere">
    <w:name w:val="Titolo 2 Carattere"/>
    <w:rPr>
      <w:rFonts w:ascii="Cambria" w:eastAsia="Times New Roman" w:hAnsi="Cambria"/>
      <w:b/>
      <w:bCs/>
      <w:i/>
      <w:iCs/>
      <w:w w:val="100"/>
      <w:position w:val="-1"/>
      <w:sz w:val="28"/>
      <w:szCs w:val="28"/>
      <w:effect w:val="none"/>
      <w:vertAlign w:val="baseline"/>
      <w:cs w:val="0"/>
      <w:em w:val="none"/>
    </w:rPr>
  </w:style>
  <w:style w:type="paragraph" w:styleId="Sottotitolo">
    <w:name w:val="Subtitle"/>
    <w:basedOn w:val="Normale"/>
    <w:next w:val="Normal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273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settiegatti.eu/info/norme/statali/2022_0078.htm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PcITsiZnzaXDQBi8mAHIA+LzDiw==">CgMxLjAyCGguZ2pkZ3hzMgloLjMwajB6bGw4AHIhMXVSY3RqaWhDNzVzazE3WkQyU3pZcmJ3Y3lPZEhsS3pZ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1008</Words>
  <Characters>5747</Characters>
  <Application>Microsoft Office Word</Application>
  <DocSecurity>0</DocSecurity>
  <Lines>47</Lines>
  <Paragraphs>13</Paragraphs>
  <ScaleCrop>false</ScaleCrop>
  <Company/>
  <LinksUpToDate>false</LinksUpToDate>
  <CharactersWithSpaces>6742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rosy.poerio</cp:lastModifiedBy>
  <cp:revision>6</cp:revision>
  <dcterms:created xsi:type="dcterms:W3CDTF">2023-11-03T11:21:00Z</dcterms:created>
  <dcterms:modified xsi:type="dcterms:W3CDTF">2024-10-21T20:29:00Z</dcterms:modified>
</cp:coreProperties>
</file>