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596" w:rsidRPr="00806A57" w:rsidRDefault="004B1596">
      <w:pPr>
        <w:pBdr>
          <w:top w:val="nil"/>
          <w:left w:val="nil"/>
          <w:bottom w:val="nil"/>
          <w:right w:val="nil"/>
          <w:between w:val="nil"/>
        </w:pBdr>
        <w:spacing w:line="240" w:lineRule="auto"/>
        <w:jc w:val="center"/>
        <w:rPr>
          <w:rFonts w:ascii="Titillium" w:eastAsia="Times New Roman" w:hAnsi="Titillium"/>
          <w:b/>
          <w:sz w:val="21"/>
          <w:szCs w:val="21"/>
        </w:rPr>
      </w:pPr>
    </w:p>
    <w:p w:rsidR="004B1596" w:rsidRPr="00806A57" w:rsidRDefault="004B1596">
      <w:pPr>
        <w:pBdr>
          <w:top w:val="nil"/>
          <w:left w:val="nil"/>
          <w:bottom w:val="nil"/>
          <w:right w:val="nil"/>
          <w:between w:val="nil"/>
        </w:pBdr>
        <w:spacing w:line="240" w:lineRule="auto"/>
        <w:jc w:val="center"/>
        <w:rPr>
          <w:rFonts w:ascii="Titillium" w:eastAsia="Times New Roman" w:hAnsi="Titillium"/>
          <w:b/>
          <w:sz w:val="21"/>
          <w:szCs w:val="21"/>
        </w:rPr>
      </w:pPr>
    </w:p>
    <w:p w:rsidR="001E5666" w:rsidRPr="001E5666" w:rsidRDefault="001E5666" w:rsidP="001E5666">
      <w:pPr>
        <w:spacing w:line="240" w:lineRule="auto"/>
        <w:ind w:left="2" w:hanging="2"/>
        <w:jc w:val="both"/>
        <w:rPr>
          <w:rFonts w:ascii="Titillium" w:hAnsi="Titillium"/>
          <w:b/>
          <w:sz w:val="21"/>
          <w:szCs w:val="21"/>
        </w:rPr>
      </w:pPr>
      <w:r w:rsidRPr="001E5666">
        <w:rPr>
          <w:rFonts w:ascii="Titillium" w:hAnsi="Titillium"/>
          <w:b/>
          <w:sz w:val="21"/>
          <w:szCs w:val="21"/>
        </w:rPr>
        <w:t xml:space="preserve">procedura di affidamento diretto per l’acquisizione del </w:t>
      </w:r>
      <w:r w:rsidRPr="001E5666">
        <w:rPr>
          <w:rFonts w:ascii="Titillium" w:hAnsi="Titillium"/>
          <w:b/>
          <w:bCs/>
          <w:sz w:val="21"/>
          <w:szCs w:val="21"/>
        </w:rPr>
        <w:t xml:space="preserve">Servizio di progettazione della sessione formativa per il progetto NG-Croce, 12-15 maggio 2025, </w:t>
      </w:r>
      <w:r w:rsidRPr="001E5666">
        <w:rPr>
          <w:rFonts w:ascii="Titillium" w:hAnsi="Titillium"/>
          <w:b/>
          <w:sz w:val="21"/>
          <w:szCs w:val="21"/>
        </w:rPr>
        <w:t>per le esigenze del Progetto  PNRR - IR0000026 NextGeneration Croce “NG-CROCE”, Codice Identificativo: IR0000026, Codice Unico di Progetto:  C53C22000880006, ammesso a finanziamento nell’ambito degli "</w:t>
      </w:r>
      <w:r w:rsidRPr="001E5666">
        <w:rPr>
          <w:rFonts w:ascii="Titillium" w:hAnsi="Titillium"/>
          <w:b/>
          <w:i/>
          <w:sz w:val="21"/>
          <w:szCs w:val="21"/>
        </w:rPr>
        <w:t>Interventi</w:t>
      </w:r>
      <w:r w:rsidRPr="001E5666">
        <w:rPr>
          <w:rFonts w:ascii="Titillium" w:hAnsi="Titillium"/>
          <w:b/>
          <w:sz w:val="21"/>
          <w:szCs w:val="21"/>
        </w:rPr>
        <w:t>" previsti dalla "</w:t>
      </w:r>
      <w:r w:rsidRPr="001E5666">
        <w:rPr>
          <w:rFonts w:ascii="Titillium" w:hAnsi="Titillium"/>
          <w:b/>
          <w:i/>
          <w:sz w:val="21"/>
          <w:szCs w:val="21"/>
        </w:rPr>
        <w:t>Missione 4</w:t>
      </w:r>
      <w:r w:rsidRPr="001E5666">
        <w:rPr>
          <w:rFonts w:ascii="Titillium" w:hAnsi="Titillium"/>
          <w:b/>
          <w:sz w:val="21"/>
          <w:szCs w:val="21"/>
        </w:rPr>
        <w:t>", denominata "</w:t>
      </w:r>
      <w:r w:rsidRPr="001E5666">
        <w:rPr>
          <w:rFonts w:ascii="Titillium" w:hAnsi="Titillium"/>
          <w:b/>
          <w:i/>
          <w:sz w:val="21"/>
          <w:szCs w:val="21"/>
        </w:rPr>
        <w:t>Istruzione e Ricerca</w:t>
      </w:r>
      <w:r w:rsidRPr="001E5666">
        <w:rPr>
          <w:rFonts w:ascii="Titillium" w:hAnsi="Titillium"/>
          <w:b/>
          <w:sz w:val="21"/>
          <w:szCs w:val="21"/>
        </w:rPr>
        <w:t>", "</w:t>
      </w:r>
      <w:r w:rsidRPr="001E5666">
        <w:rPr>
          <w:rFonts w:ascii="Titillium" w:hAnsi="Titillium"/>
          <w:b/>
          <w:i/>
          <w:sz w:val="21"/>
          <w:szCs w:val="21"/>
        </w:rPr>
        <w:t>Componente 2</w:t>
      </w:r>
      <w:r w:rsidRPr="001E5666">
        <w:rPr>
          <w:rFonts w:ascii="Titillium" w:hAnsi="Titillium"/>
          <w:b/>
          <w:sz w:val="21"/>
          <w:szCs w:val="21"/>
        </w:rPr>
        <w:t>", denominata "</w:t>
      </w:r>
      <w:r w:rsidRPr="001E5666">
        <w:rPr>
          <w:rFonts w:ascii="Titillium" w:hAnsi="Titillium"/>
          <w:b/>
          <w:i/>
          <w:sz w:val="21"/>
          <w:szCs w:val="21"/>
        </w:rPr>
        <w:t>Dalla Ricerca alla Impresa</w:t>
      </w:r>
      <w:r w:rsidRPr="001E5666">
        <w:rPr>
          <w:rFonts w:ascii="Titillium" w:hAnsi="Titillium"/>
          <w:b/>
          <w:sz w:val="21"/>
          <w:szCs w:val="21"/>
        </w:rPr>
        <w:t>" ("</w:t>
      </w:r>
      <w:r w:rsidRPr="001E5666">
        <w:rPr>
          <w:rFonts w:ascii="Titillium" w:hAnsi="Titillium"/>
          <w:b/>
          <w:i/>
          <w:sz w:val="21"/>
          <w:szCs w:val="21"/>
        </w:rPr>
        <w:t>M4C2</w:t>
      </w:r>
      <w:r w:rsidRPr="001E5666">
        <w:rPr>
          <w:rFonts w:ascii="Titillium" w:hAnsi="Titillium"/>
          <w:b/>
          <w:sz w:val="21"/>
          <w:szCs w:val="21"/>
        </w:rPr>
        <w:t xml:space="preserve">"), </w:t>
      </w:r>
      <w:r w:rsidRPr="001E5666">
        <w:rPr>
          <w:rFonts w:ascii="Titillium" w:hAnsi="Titillium"/>
          <w:b/>
          <w:i/>
          <w:sz w:val="21"/>
          <w:szCs w:val="21"/>
        </w:rPr>
        <w:t>Linea di Investimento 3.1", denominata "Rafforzamento e creazione di Infrastrutture di Ricerca", del "Piano Nazionale di Ripresa e Resilienza”</w:t>
      </w:r>
      <w:r w:rsidRPr="001E5666">
        <w:rPr>
          <w:rFonts w:ascii="Titillium" w:hAnsi="Titillium"/>
          <w:b/>
          <w:sz w:val="21"/>
          <w:szCs w:val="21"/>
        </w:rPr>
        <w:t>.</w:t>
      </w:r>
    </w:p>
    <w:p w:rsidR="001E5666" w:rsidRPr="001E5666" w:rsidRDefault="001E5666" w:rsidP="001E5666">
      <w:pPr>
        <w:spacing w:line="240" w:lineRule="auto"/>
        <w:ind w:left="2" w:hanging="2"/>
        <w:jc w:val="both"/>
        <w:rPr>
          <w:rFonts w:ascii="Titillium" w:hAnsi="Titillium"/>
          <w:b/>
          <w:bCs/>
          <w:sz w:val="21"/>
          <w:szCs w:val="21"/>
        </w:rPr>
      </w:pPr>
    </w:p>
    <w:p w:rsidR="001E5666" w:rsidRPr="001E5666" w:rsidRDefault="001E5666" w:rsidP="001E5666">
      <w:pPr>
        <w:spacing w:line="240" w:lineRule="auto"/>
        <w:ind w:left="2" w:hanging="2"/>
        <w:jc w:val="both"/>
        <w:rPr>
          <w:rFonts w:ascii="Titillium" w:hAnsi="Titillium"/>
          <w:b/>
          <w:sz w:val="21"/>
          <w:szCs w:val="21"/>
        </w:rPr>
      </w:pPr>
      <w:r w:rsidRPr="001E5666">
        <w:rPr>
          <w:rFonts w:ascii="Titillium" w:hAnsi="Titillium"/>
          <w:b/>
          <w:sz w:val="21"/>
          <w:szCs w:val="21"/>
        </w:rPr>
        <w:t>CUP: C53C22000880006</w:t>
      </w:r>
    </w:p>
    <w:p w:rsidR="001E5666" w:rsidRPr="001E5666" w:rsidRDefault="001E5666" w:rsidP="001E5666">
      <w:pPr>
        <w:spacing w:line="240" w:lineRule="auto"/>
        <w:ind w:left="2" w:hanging="2"/>
        <w:jc w:val="both"/>
        <w:rPr>
          <w:rFonts w:ascii="Titillium" w:hAnsi="Titillium"/>
          <w:b/>
          <w:bCs/>
          <w:sz w:val="21"/>
          <w:szCs w:val="21"/>
        </w:rPr>
      </w:pPr>
      <w:r w:rsidRPr="001E5666">
        <w:rPr>
          <w:rFonts w:ascii="Titillium" w:hAnsi="Titillium"/>
          <w:b/>
          <w:bCs/>
          <w:sz w:val="21"/>
          <w:szCs w:val="21"/>
        </w:rPr>
        <w:t>CPV: 79952000-2 - Servizi di organizzazione di eventi</w:t>
      </w:r>
    </w:p>
    <w:p w:rsidR="002F0175" w:rsidRDefault="002F0175" w:rsidP="002F0175">
      <w:pPr>
        <w:spacing w:line="240" w:lineRule="auto"/>
        <w:ind w:left="2" w:hanging="2"/>
        <w:jc w:val="both"/>
        <w:rPr>
          <w:rFonts w:ascii="Titillium" w:eastAsia="Titilium" w:hAnsi="Titillium" w:cs="Titilium"/>
          <w:color w:val="000000"/>
          <w:sz w:val="21"/>
          <w:szCs w:val="21"/>
        </w:rPr>
      </w:pPr>
      <w:bookmarkStart w:id="0" w:name="_GoBack"/>
      <w:bookmarkEnd w:id="0"/>
    </w:p>
    <w:p w:rsidR="00C414C7" w:rsidRPr="00806A57" w:rsidRDefault="00C414C7" w:rsidP="00C414C7">
      <w:pPr>
        <w:pBdr>
          <w:top w:val="nil"/>
          <w:left w:val="nil"/>
          <w:bottom w:val="nil"/>
          <w:right w:val="nil"/>
          <w:between w:val="nil"/>
        </w:pBdr>
        <w:spacing w:line="240" w:lineRule="auto"/>
        <w:rPr>
          <w:rFonts w:ascii="Titillium" w:eastAsia="Times New Roman" w:hAnsi="Titillium"/>
          <w:b/>
          <w:sz w:val="21"/>
          <w:szCs w:val="21"/>
        </w:rPr>
      </w:pPr>
    </w:p>
    <w:p w:rsidR="004B1596" w:rsidRPr="00806A57" w:rsidRDefault="004C69A7">
      <w:pPr>
        <w:pBdr>
          <w:top w:val="nil"/>
          <w:left w:val="nil"/>
          <w:bottom w:val="nil"/>
          <w:right w:val="nil"/>
          <w:between w:val="nil"/>
        </w:pBdr>
        <w:spacing w:line="240" w:lineRule="auto"/>
        <w:jc w:val="center"/>
        <w:rPr>
          <w:rFonts w:ascii="Titillium" w:eastAsia="Titilium" w:hAnsi="Titillium" w:cs="Titilium"/>
          <w:b/>
          <w:color w:val="000000"/>
          <w:sz w:val="21"/>
          <w:szCs w:val="21"/>
        </w:rPr>
      </w:pPr>
      <w:r w:rsidRPr="00806A57">
        <w:rPr>
          <w:rFonts w:ascii="Titillium" w:eastAsia="Titilium" w:hAnsi="Titillium" w:cs="Titilium"/>
          <w:b/>
          <w:color w:val="000000"/>
          <w:sz w:val="21"/>
          <w:szCs w:val="21"/>
        </w:rPr>
        <w:t>COMUNICAZIONE RELATIVA ALLA TRACCIABILITÀ DEI FLUSSI FINANZIARI (Legge 13 agosto 2010, n. 136, articolo 3)</w:t>
      </w:r>
    </w:p>
    <w:p w:rsidR="004B1596" w:rsidRPr="00806A57" w:rsidRDefault="004B1596">
      <w:pPr>
        <w:spacing w:after="0" w:line="240" w:lineRule="auto"/>
        <w:jc w:val="center"/>
        <w:rPr>
          <w:rFonts w:ascii="Titillium" w:eastAsia="Titilium" w:hAnsi="Titillium" w:cs="Titilium"/>
          <w:b/>
          <w:sz w:val="21"/>
          <w:szCs w:val="21"/>
        </w:rPr>
      </w:pPr>
    </w:p>
    <w:p w:rsidR="004B1596" w:rsidRPr="00806A57" w:rsidRDefault="004B1596">
      <w:pPr>
        <w:tabs>
          <w:tab w:val="left" w:pos="10915"/>
        </w:tabs>
        <w:spacing w:after="0" w:line="240" w:lineRule="auto"/>
        <w:ind w:firstLine="3544"/>
        <w:rPr>
          <w:rFonts w:ascii="Titillium" w:eastAsia="Titilium" w:hAnsi="Titillium" w:cs="Titilium"/>
          <w:sz w:val="21"/>
          <w:szCs w:val="21"/>
        </w:rPr>
      </w:pPr>
    </w:p>
    <w:p w:rsidR="004B1596" w:rsidRPr="00806A57" w:rsidRDefault="004C69A7" w:rsidP="00C414C7">
      <w:pPr>
        <w:tabs>
          <w:tab w:val="left" w:pos="10915"/>
        </w:tabs>
        <w:spacing w:after="0" w:line="240" w:lineRule="auto"/>
        <w:ind w:firstLine="3402"/>
        <w:rPr>
          <w:rFonts w:ascii="Titillium" w:eastAsia="Titilium" w:hAnsi="Titillium" w:cs="Titilium"/>
          <w:sz w:val="21"/>
          <w:szCs w:val="21"/>
        </w:rPr>
      </w:pPr>
      <w:r w:rsidRPr="00806A57">
        <w:rPr>
          <w:rFonts w:ascii="Titillium" w:eastAsia="Titilium" w:hAnsi="Titillium" w:cs="Titilium"/>
          <w:b/>
          <w:sz w:val="21"/>
          <w:szCs w:val="21"/>
        </w:rPr>
        <w:t>All’Is</w:t>
      </w:r>
      <w:r w:rsidR="00C414C7" w:rsidRPr="00806A57">
        <w:rPr>
          <w:rFonts w:ascii="Titillium" w:eastAsia="Titilium" w:hAnsi="Titillium" w:cs="Titilium"/>
          <w:b/>
          <w:sz w:val="21"/>
          <w:szCs w:val="21"/>
        </w:rPr>
        <w:t>tituto Nazionale di Astrofisica/Istituto di Radioastronomia (BO)</w:t>
      </w:r>
    </w:p>
    <w:p w:rsidR="004B1596" w:rsidRPr="00806A57" w:rsidRDefault="004B1596">
      <w:pPr>
        <w:tabs>
          <w:tab w:val="left" w:pos="10915"/>
        </w:tabs>
        <w:spacing w:after="0" w:line="240" w:lineRule="auto"/>
        <w:rPr>
          <w:rFonts w:ascii="Titillium" w:eastAsia="Titilium" w:hAnsi="Titillium" w:cs="Titilium"/>
          <w:sz w:val="21"/>
          <w:szCs w:val="21"/>
        </w:rPr>
      </w:pPr>
    </w:p>
    <w:p w:rsidR="004B1596" w:rsidRPr="00806A57" w:rsidRDefault="004C69A7">
      <w:pPr>
        <w:tabs>
          <w:tab w:val="left" w:pos="10915"/>
        </w:tabs>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Il/La Sottoscritto/a</w:t>
      </w:r>
    </w:p>
    <w:tbl>
      <w:tblPr>
        <w:tblStyle w:val="a5"/>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2"/>
        <w:gridCol w:w="5399"/>
        <w:gridCol w:w="1847"/>
      </w:tblGrid>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Cognome e nome</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Comune di nascita</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Data di nascita</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Codice fiscale</w:t>
            </w:r>
          </w:p>
        </w:tc>
        <w:tc>
          <w:tcPr>
            <w:tcW w:w="7246"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Residenza in via/piazza</w:t>
            </w:r>
          </w:p>
        </w:tc>
        <w:tc>
          <w:tcPr>
            <w:tcW w:w="5399" w:type="dxa"/>
          </w:tcPr>
          <w:p w:rsidR="004B1596" w:rsidRPr="00806A57" w:rsidRDefault="004C69A7">
            <w:pPr>
              <w:spacing w:line="240" w:lineRule="auto"/>
              <w:ind w:left="4700"/>
              <w:rPr>
                <w:rFonts w:ascii="Titillium" w:eastAsia="Titilium" w:hAnsi="Titillium" w:cs="Titilium"/>
                <w:sz w:val="21"/>
                <w:szCs w:val="21"/>
              </w:rPr>
            </w:pPr>
            <w:r w:rsidRPr="00806A57">
              <w:rPr>
                <w:rFonts w:ascii="Titillium" w:eastAsia="Titilium" w:hAnsi="Titillium" w:cs="Titilium"/>
                <w:sz w:val="21"/>
                <w:szCs w:val="21"/>
              </w:rPr>
              <w:t>n.</w:t>
            </w:r>
          </w:p>
        </w:tc>
        <w:tc>
          <w:tcPr>
            <w:tcW w:w="1847"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382" w:type="dxa"/>
          </w:tcPr>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Comune</w:t>
            </w:r>
          </w:p>
        </w:tc>
        <w:tc>
          <w:tcPr>
            <w:tcW w:w="5399" w:type="dxa"/>
          </w:tcPr>
          <w:p w:rsidR="004B1596" w:rsidRPr="00806A57" w:rsidRDefault="004C69A7">
            <w:pPr>
              <w:tabs>
                <w:tab w:val="left" w:pos="10915"/>
              </w:tabs>
              <w:spacing w:line="240" w:lineRule="auto"/>
              <w:ind w:left="4700"/>
              <w:rPr>
                <w:rFonts w:ascii="Titillium" w:eastAsia="Titilium" w:hAnsi="Titillium" w:cs="Titilium"/>
                <w:sz w:val="21"/>
                <w:szCs w:val="21"/>
              </w:rPr>
            </w:pPr>
            <w:r w:rsidRPr="00806A57">
              <w:rPr>
                <w:rFonts w:ascii="Titillium" w:eastAsia="Titilium" w:hAnsi="Titillium" w:cs="Titilium"/>
                <w:sz w:val="21"/>
                <w:szCs w:val="21"/>
              </w:rPr>
              <w:t>CAP</w:t>
            </w:r>
          </w:p>
        </w:tc>
        <w:tc>
          <w:tcPr>
            <w:tcW w:w="1847" w:type="dxa"/>
          </w:tcPr>
          <w:p w:rsidR="004B1596" w:rsidRPr="00806A57" w:rsidRDefault="004B1596">
            <w:pPr>
              <w:tabs>
                <w:tab w:val="left" w:pos="10915"/>
              </w:tabs>
              <w:spacing w:line="240" w:lineRule="auto"/>
              <w:rPr>
                <w:rFonts w:ascii="Titillium" w:eastAsia="Titilium" w:hAnsi="Titillium" w:cs="Titilium"/>
                <w:sz w:val="21"/>
                <w:szCs w:val="21"/>
              </w:rPr>
            </w:pPr>
          </w:p>
        </w:tc>
      </w:tr>
    </w:tbl>
    <w:p w:rsidR="004B1596" w:rsidRPr="00806A57" w:rsidRDefault="004B1596">
      <w:pPr>
        <w:tabs>
          <w:tab w:val="left" w:pos="10915"/>
        </w:tabs>
        <w:spacing w:after="0" w:line="240" w:lineRule="auto"/>
        <w:rPr>
          <w:rFonts w:ascii="Titillium" w:eastAsia="Titilium" w:hAnsi="Titillium" w:cs="Titilium"/>
          <w:b/>
          <w:sz w:val="21"/>
          <w:szCs w:val="21"/>
        </w:rPr>
      </w:pPr>
    </w:p>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in qualità di: ________________________________</w:t>
      </w:r>
    </w:p>
    <w:p w:rsidR="004B1596" w:rsidRPr="00806A57" w:rsidRDefault="004B1596">
      <w:pPr>
        <w:tabs>
          <w:tab w:val="left" w:pos="10915"/>
        </w:tabs>
        <w:spacing w:after="0" w:line="240" w:lineRule="auto"/>
        <w:rPr>
          <w:rFonts w:ascii="Titillium" w:eastAsia="Titilium" w:hAnsi="Titillium" w:cs="Titilium"/>
          <w:sz w:val="21"/>
          <w:szCs w:val="21"/>
        </w:rPr>
      </w:pPr>
    </w:p>
    <w:tbl>
      <w:tblPr>
        <w:tblStyle w:val="a6"/>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13"/>
        <w:gridCol w:w="4360"/>
        <w:gridCol w:w="2355"/>
      </w:tblGrid>
      <w:tr w:rsidR="004B1596" w:rsidRPr="00806A57">
        <w:trPr>
          <w:trHeight w:val="438"/>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 xml:space="preserve">dell’Operatore Economico </w:t>
            </w:r>
          </w:p>
        </w:tc>
        <w:tc>
          <w:tcPr>
            <w:tcW w:w="6715" w:type="dxa"/>
            <w:gridSpan w:val="2"/>
          </w:tcPr>
          <w:p w:rsidR="004B1596" w:rsidRPr="00806A57" w:rsidRDefault="004B1596">
            <w:pPr>
              <w:spacing w:after="0"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Sede legale in via/piazza</w:t>
            </w:r>
          </w:p>
        </w:tc>
        <w:tc>
          <w:tcPr>
            <w:tcW w:w="4360" w:type="dxa"/>
          </w:tcPr>
          <w:p w:rsidR="004B1596" w:rsidRPr="00806A57" w:rsidRDefault="004C69A7">
            <w:pPr>
              <w:spacing w:line="240" w:lineRule="auto"/>
              <w:ind w:left="3080" w:hanging="303"/>
              <w:rPr>
                <w:rFonts w:ascii="Titillium" w:eastAsia="Titilium" w:hAnsi="Titillium" w:cs="Titilium"/>
                <w:sz w:val="21"/>
                <w:szCs w:val="21"/>
              </w:rPr>
            </w:pPr>
            <w:r w:rsidRPr="00806A57">
              <w:rPr>
                <w:rFonts w:ascii="Titillium" w:eastAsia="Titilium" w:hAnsi="Titillium" w:cs="Titilium"/>
                <w:sz w:val="21"/>
                <w:szCs w:val="21"/>
              </w:rPr>
              <w:t>n.</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lastRenderedPageBreak/>
              <w:t>Comune</w:t>
            </w:r>
          </w:p>
        </w:tc>
        <w:tc>
          <w:tcPr>
            <w:tcW w:w="4360" w:type="dxa"/>
          </w:tcPr>
          <w:p w:rsidR="004B1596" w:rsidRPr="00806A57" w:rsidRDefault="004C69A7">
            <w:pPr>
              <w:spacing w:line="240" w:lineRule="auto"/>
              <w:ind w:left="3080" w:hanging="303"/>
              <w:rPr>
                <w:rFonts w:ascii="Titillium" w:eastAsia="Titilium" w:hAnsi="Titillium" w:cs="Titilium"/>
                <w:sz w:val="21"/>
                <w:szCs w:val="21"/>
              </w:rPr>
            </w:pPr>
            <w:r w:rsidRPr="00806A57">
              <w:rPr>
                <w:rFonts w:ascii="Titillium" w:eastAsia="Titilium" w:hAnsi="Titillium" w:cs="Titilium"/>
                <w:sz w:val="21"/>
                <w:szCs w:val="21"/>
              </w:rPr>
              <w:t>CAP</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Telefono</w:t>
            </w:r>
          </w:p>
        </w:tc>
        <w:tc>
          <w:tcPr>
            <w:tcW w:w="4360" w:type="dxa"/>
          </w:tcPr>
          <w:p w:rsidR="004B1596" w:rsidRPr="00806A57" w:rsidRDefault="004C69A7">
            <w:pPr>
              <w:spacing w:line="240" w:lineRule="auto"/>
              <w:ind w:left="3095" w:hanging="303"/>
              <w:rPr>
                <w:rFonts w:ascii="Titillium" w:eastAsia="Titilium" w:hAnsi="Titillium" w:cs="Titilium"/>
                <w:sz w:val="21"/>
                <w:szCs w:val="21"/>
              </w:rPr>
            </w:pPr>
            <w:r w:rsidRPr="00806A57">
              <w:rPr>
                <w:rFonts w:ascii="Titillium" w:eastAsia="Titilium" w:hAnsi="Titillium" w:cs="Titilium"/>
                <w:sz w:val="21"/>
                <w:szCs w:val="21"/>
              </w:rPr>
              <w:t>Fax</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spacing w:after="0" w:line="240" w:lineRule="auto"/>
              <w:rPr>
                <w:rFonts w:ascii="Titillium" w:eastAsia="Titilium" w:hAnsi="Titillium" w:cs="Titilium"/>
                <w:sz w:val="21"/>
                <w:szCs w:val="21"/>
              </w:rPr>
            </w:pPr>
            <w:r w:rsidRPr="00806A57">
              <w:rPr>
                <w:rFonts w:ascii="Titillium" w:eastAsia="Titilium" w:hAnsi="Titillium" w:cs="Titilium"/>
                <w:sz w:val="21"/>
                <w:szCs w:val="21"/>
              </w:rPr>
              <w:t>Codice fiscale</w:t>
            </w:r>
          </w:p>
        </w:tc>
        <w:tc>
          <w:tcPr>
            <w:tcW w:w="4360" w:type="dxa"/>
          </w:tcPr>
          <w:p w:rsidR="004B1596" w:rsidRPr="00806A57" w:rsidRDefault="004C69A7">
            <w:pPr>
              <w:tabs>
                <w:tab w:val="left" w:pos="10915"/>
              </w:tabs>
              <w:spacing w:line="240" w:lineRule="auto"/>
              <w:ind w:left="3110" w:hanging="303"/>
              <w:rPr>
                <w:rFonts w:ascii="Titillium" w:eastAsia="Titilium" w:hAnsi="Titillium" w:cs="Titilium"/>
                <w:sz w:val="21"/>
                <w:szCs w:val="21"/>
              </w:rPr>
            </w:pPr>
            <w:r w:rsidRPr="00806A57">
              <w:rPr>
                <w:rFonts w:ascii="Titillium" w:eastAsia="Titilium" w:hAnsi="Titillium" w:cs="Titilium"/>
                <w:sz w:val="21"/>
                <w:szCs w:val="21"/>
              </w:rPr>
              <w:t>Partita IVA IVAI.V.A.</w:t>
            </w:r>
          </w:p>
        </w:tc>
        <w:tc>
          <w:tcPr>
            <w:tcW w:w="2355" w:type="dxa"/>
          </w:tcPr>
          <w:p w:rsidR="004B1596" w:rsidRPr="00806A57" w:rsidRDefault="004B1596">
            <w:pPr>
              <w:spacing w:line="240" w:lineRule="auto"/>
              <w:rPr>
                <w:rFonts w:ascii="Titillium" w:eastAsia="Titilium" w:hAnsi="Titillium" w:cs="Titilium"/>
                <w:sz w:val="21"/>
                <w:szCs w:val="21"/>
              </w:rPr>
            </w:pPr>
          </w:p>
        </w:tc>
      </w:tr>
      <w:tr w:rsidR="004B1596" w:rsidRPr="00806A57">
        <w:trPr>
          <w:trHeight w:val="284"/>
        </w:trPr>
        <w:tc>
          <w:tcPr>
            <w:tcW w:w="2913" w:type="dxa"/>
          </w:tcPr>
          <w:p w:rsidR="004B1596" w:rsidRPr="00806A57" w:rsidRDefault="004C69A7">
            <w:pPr>
              <w:tabs>
                <w:tab w:val="left" w:pos="10915"/>
              </w:tabs>
              <w:spacing w:after="0" w:line="240" w:lineRule="auto"/>
              <w:rPr>
                <w:rFonts w:ascii="Titillium" w:eastAsia="Titilium" w:hAnsi="Titillium" w:cs="Titilium"/>
                <w:sz w:val="21"/>
                <w:szCs w:val="21"/>
              </w:rPr>
            </w:pPr>
            <w:r w:rsidRPr="00806A57">
              <w:rPr>
                <w:rFonts w:ascii="Titillium" w:eastAsia="Titilium" w:hAnsi="Titillium" w:cs="Titilium"/>
                <w:sz w:val="21"/>
                <w:szCs w:val="21"/>
              </w:rPr>
              <w:t>E-mail</w:t>
            </w:r>
          </w:p>
        </w:tc>
        <w:tc>
          <w:tcPr>
            <w:tcW w:w="4360" w:type="dxa"/>
          </w:tcPr>
          <w:p w:rsidR="004B1596" w:rsidRPr="00806A57" w:rsidRDefault="004C69A7">
            <w:pPr>
              <w:tabs>
                <w:tab w:val="left" w:pos="10915"/>
              </w:tabs>
              <w:spacing w:line="240" w:lineRule="auto"/>
              <w:ind w:left="3110" w:hanging="303"/>
              <w:rPr>
                <w:rFonts w:ascii="Titillium" w:eastAsia="Titilium" w:hAnsi="Titillium" w:cs="Titilium"/>
                <w:sz w:val="21"/>
                <w:szCs w:val="21"/>
              </w:rPr>
            </w:pPr>
            <w:r w:rsidRPr="00806A57">
              <w:rPr>
                <w:rFonts w:ascii="Titillium" w:eastAsia="Titilium" w:hAnsi="Titillium" w:cs="Titilium"/>
                <w:sz w:val="21"/>
                <w:szCs w:val="21"/>
              </w:rPr>
              <w:t xml:space="preserve">PEC </w:t>
            </w:r>
          </w:p>
        </w:tc>
        <w:tc>
          <w:tcPr>
            <w:tcW w:w="2355" w:type="dxa"/>
          </w:tcPr>
          <w:p w:rsidR="004B1596" w:rsidRPr="00806A57" w:rsidRDefault="004B1596">
            <w:pPr>
              <w:tabs>
                <w:tab w:val="left" w:pos="10915"/>
              </w:tabs>
              <w:spacing w:line="240" w:lineRule="auto"/>
              <w:rPr>
                <w:rFonts w:ascii="Titillium" w:eastAsia="Titilium" w:hAnsi="Titillium" w:cs="Titilium"/>
                <w:sz w:val="21"/>
                <w:szCs w:val="21"/>
              </w:rPr>
            </w:pPr>
          </w:p>
        </w:tc>
      </w:tr>
    </w:tbl>
    <w:p w:rsidR="004B1596" w:rsidRPr="00806A57" w:rsidRDefault="004B1596">
      <w:pPr>
        <w:tabs>
          <w:tab w:val="left" w:pos="10915"/>
        </w:tabs>
        <w:spacing w:after="0" w:line="240" w:lineRule="auto"/>
        <w:ind w:left="1134" w:hanging="1134"/>
        <w:jc w:val="both"/>
        <w:rPr>
          <w:rFonts w:ascii="Titillium" w:eastAsia="Titilium" w:hAnsi="Titillium" w:cs="Titilium"/>
          <w:sz w:val="21"/>
          <w:szCs w:val="21"/>
        </w:rPr>
      </w:pPr>
    </w:p>
    <w:p w:rsidR="004B1596" w:rsidRPr="00806A57" w:rsidRDefault="004C69A7">
      <w:pPr>
        <w:pBdr>
          <w:top w:val="nil"/>
          <w:left w:val="nil"/>
          <w:bottom w:val="nil"/>
          <w:right w:val="nil"/>
          <w:between w:val="nil"/>
        </w:pBdr>
        <w:spacing w:after="120" w:line="240" w:lineRule="auto"/>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in relazione all’affidamento del contratto/ordine per </w:t>
      </w:r>
      <w:r w:rsidR="002C56B8" w:rsidRPr="00806A57">
        <w:rPr>
          <w:rFonts w:ascii="Titillium" w:eastAsia="Titilium" w:hAnsi="Titillium" w:cs="Titilium"/>
          <w:color w:val="000000"/>
          <w:sz w:val="21"/>
          <w:szCs w:val="21"/>
        </w:rPr>
        <w:t xml:space="preserve">Affidamento diretto </w:t>
      </w:r>
      <w:r w:rsidR="00806A57" w:rsidRPr="00806A57">
        <w:rPr>
          <w:rFonts w:ascii="Titillium" w:eastAsia="Titilium" w:hAnsi="Titillium" w:cs="Titilium"/>
          <w:color w:val="000000"/>
          <w:sz w:val="21"/>
          <w:szCs w:val="21"/>
        </w:rPr>
        <w:t>del servizio di Progettazione della movimentazione del ramo est-ovest del</w:t>
      </w:r>
      <w:r w:rsidR="00806A57">
        <w:rPr>
          <w:rFonts w:ascii="Titillium" w:eastAsia="Titilium" w:hAnsi="Titillium" w:cs="Titilium"/>
          <w:color w:val="000000"/>
          <w:sz w:val="21"/>
          <w:szCs w:val="21"/>
        </w:rPr>
        <w:t xml:space="preserve"> radiotelescopio Croce del Nord,</w:t>
      </w:r>
      <w:r w:rsidR="002C56B8" w:rsidRPr="00806A57">
        <w:rPr>
          <w:rFonts w:ascii="Titillium" w:eastAsia="Titilium" w:hAnsi="Titillium" w:cs="Titilium"/>
          <w:color w:val="000000"/>
          <w:sz w:val="21"/>
          <w:szCs w:val="21"/>
        </w:rPr>
        <w:t xml:space="preserve"> </w:t>
      </w:r>
      <w:r w:rsidRPr="00806A57">
        <w:rPr>
          <w:rFonts w:ascii="Titillium" w:eastAsia="Titilium" w:hAnsi="Titillium" w:cs="Titilium"/>
          <w:color w:val="000000"/>
          <w:sz w:val="21"/>
          <w:szCs w:val="21"/>
        </w:rPr>
        <w:t>CUP</w:t>
      </w:r>
      <w:r w:rsidR="002C56B8" w:rsidRPr="00806A57">
        <w:rPr>
          <w:rFonts w:ascii="Titillium" w:eastAsia="Titilium" w:hAnsi="Titillium" w:cs="Titilium"/>
          <w:color w:val="000000"/>
          <w:sz w:val="21"/>
          <w:szCs w:val="21"/>
        </w:rPr>
        <w:t>:</w:t>
      </w:r>
      <w:r w:rsidRPr="00806A57">
        <w:rPr>
          <w:rFonts w:ascii="Titillium" w:eastAsia="Titilium" w:hAnsi="Titillium" w:cs="Titilium"/>
          <w:color w:val="000000"/>
          <w:sz w:val="21"/>
          <w:szCs w:val="21"/>
        </w:rPr>
        <w:t xml:space="preserve"> (Codice Unico di Progetto) </w:t>
      </w:r>
      <w:r w:rsidR="002C56B8" w:rsidRPr="00806A57">
        <w:rPr>
          <w:rFonts w:ascii="Titillium" w:eastAsia="Titilium" w:hAnsi="Titillium" w:cs="Titilium"/>
          <w:color w:val="000000"/>
          <w:sz w:val="21"/>
          <w:szCs w:val="21"/>
        </w:rPr>
        <w:t xml:space="preserve">C53C22000880006, </w:t>
      </w:r>
      <w:r w:rsidRPr="00806A57">
        <w:rPr>
          <w:rFonts w:ascii="Titillium" w:eastAsia="Titilium" w:hAnsi="Titillium" w:cs="Titilium"/>
          <w:color w:val="000000"/>
          <w:sz w:val="21"/>
          <w:szCs w:val="21"/>
        </w:rPr>
        <w:t>al fine di assolvere agli obblighi sulla tracciabilità dei flussi finanziari previsti dall’articolo 3 della Legge 13 agosto 2010, n. 136, “</w:t>
      </w:r>
      <w:r w:rsidRPr="00806A57">
        <w:rPr>
          <w:rFonts w:ascii="Titillium" w:eastAsia="Titilium" w:hAnsi="Titillium" w:cs="Titilium"/>
          <w:i/>
          <w:color w:val="000000"/>
          <w:sz w:val="21"/>
          <w:szCs w:val="21"/>
        </w:rPr>
        <w:t>Piano straordinario contro le mafie, nonché delega al Governo in materia di normativa antimafia</w:t>
      </w:r>
      <w:r w:rsidRPr="00806A57">
        <w:rPr>
          <w:rFonts w:ascii="Titillium" w:eastAsia="Titilium" w:hAnsi="Titillium" w:cs="Titilium"/>
          <w:color w:val="000000"/>
          <w:sz w:val="21"/>
          <w:szCs w:val="21"/>
        </w:rPr>
        <w:t xml:space="preserve">”, </w:t>
      </w:r>
    </w:p>
    <w:p w:rsidR="004B1596" w:rsidRPr="00806A57" w:rsidRDefault="004C69A7">
      <w:pPr>
        <w:pBdr>
          <w:top w:val="nil"/>
          <w:left w:val="nil"/>
          <w:bottom w:val="nil"/>
          <w:right w:val="nil"/>
          <w:between w:val="nil"/>
        </w:pBdr>
        <w:spacing w:after="0" w:line="240" w:lineRule="auto"/>
        <w:jc w:val="both"/>
        <w:rPr>
          <w:rFonts w:ascii="Titillium" w:eastAsia="Titilium" w:hAnsi="Titillium" w:cs="Titilium"/>
          <w:b/>
          <w:color w:val="000000"/>
          <w:sz w:val="21"/>
          <w:szCs w:val="21"/>
        </w:rPr>
      </w:pPr>
      <w:r w:rsidRPr="00806A57">
        <w:rPr>
          <w:rFonts w:ascii="Titillium" w:eastAsia="Titilium" w:hAnsi="Titillium" w:cs="Titilium"/>
          <w:b/>
          <w:color w:val="000000"/>
          <w:sz w:val="21"/>
          <w:szCs w:val="21"/>
        </w:rPr>
        <w:t>ai sensi degli articoli 46 e 47 del Decreto del Presidente della Repubblica 28 dicembre 2000, n. 445, consapevole della responsabilità penale cui può andare incontro in caso di affermazioni mendaci e delle relative sanzioni penali di cui all’articolo 76 del medesimo Decreto,</w:t>
      </w:r>
    </w:p>
    <w:p w:rsidR="004B1596" w:rsidRPr="00806A57" w:rsidRDefault="004B1596">
      <w:pPr>
        <w:pBdr>
          <w:top w:val="nil"/>
          <w:left w:val="nil"/>
          <w:bottom w:val="nil"/>
          <w:right w:val="nil"/>
          <w:between w:val="nil"/>
        </w:pBdr>
        <w:spacing w:after="0" w:line="240" w:lineRule="auto"/>
        <w:jc w:val="center"/>
        <w:rPr>
          <w:rFonts w:ascii="Titillium" w:eastAsia="Titilium" w:hAnsi="Titillium" w:cs="Titilium"/>
          <w:b/>
          <w:color w:val="000000"/>
          <w:sz w:val="21"/>
          <w:szCs w:val="21"/>
        </w:rPr>
      </w:pPr>
    </w:p>
    <w:p w:rsidR="004B1596" w:rsidRPr="00806A57" w:rsidRDefault="004C69A7">
      <w:pPr>
        <w:pBdr>
          <w:top w:val="nil"/>
          <w:left w:val="nil"/>
          <w:bottom w:val="nil"/>
          <w:right w:val="nil"/>
          <w:between w:val="nil"/>
        </w:pBdr>
        <w:spacing w:after="0" w:line="240" w:lineRule="auto"/>
        <w:jc w:val="center"/>
        <w:rPr>
          <w:rFonts w:ascii="Titillium" w:eastAsia="Titilium" w:hAnsi="Titillium" w:cs="Titilium"/>
          <w:b/>
          <w:color w:val="000000"/>
          <w:sz w:val="21"/>
          <w:szCs w:val="21"/>
        </w:rPr>
      </w:pPr>
      <w:r w:rsidRPr="00806A57">
        <w:rPr>
          <w:rFonts w:ascii="Titillium" w:eastAsia="Titilium" w:hAnsi="Titillium" w:cs="Titilium"/>
          <w:b/>
          <w:color w:val="000000"/>
          <w:sz w:val="21"/>
          <w:szCs w:val="21"/>
        </w:rPr>
        <w:t>DICHIARA</w:t>
      </w:r>
    </w:p>
    <w:p w:rsidR="004B1596" w:rsidRPr="00806A57" w:rsidRDefault="004B1596">
      <w:pPr>
        <w:spacing w:after="0" w:line="240" w:lineRule="auto"/>
        <w:jc w:val="center"/>
        <w:rPr>
          <w:rFonts w:ascii="Titillium" w:eastAsia="Titilium" w:hAnsi="Titillium" w:cs="Titilium"/>
          <w:b/>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che i conti correnti bancari o postali dedicati anche in via non esclusiva alla presente commessa pubblica sono i seguenti:</w:t>
      </w:r>
    </w:p>
    <w:p w:rsidR="004B1596" w:rsidRPr="00806A57" w:rsidRDefault="004C69A7">
      <w:pPr>
        <w:spacing w:after="0" w:line="240" w:lineRule="auto"/>
        <w:ind w:left="720"/>
        <w:jc w:val="both"/>
        <w:rPr>
          <w:rFonts w:ascii="Titillium" w:eastAsia="Titilium" w:hAnsi="Titillium" w:cs="Titilium"/>
          <w:sz w:val="21"/>
          <w:szCs w:val="21"/>
        </w:rPr>
      </w:pPr>
      <w:r w:rsidRPr="00806A57">
        <w:rPr>
          <w:rFonts w:ascii="Titillium" w:eastAsia="Titilium" w:hAnsi="Titillium" w:cs="Titilium"/>
          <w:sz w:val="21"/>
          <w:szCs w:val="21"/>
        </w:rPr>
        <w:t>(</w:t>
      </w:r>
      <w:r w:rsidRPr="00806A57">
        <w:rPr>
          <w:rFonts w:ascii="Titillium" w:eastAsia="Titilium" w:hAnsi="Titillium" w:cs="Titilium"/>
          <w:i/>
          <w:sz w:val="21"/>
          <w:szCs w:val="21"/>
        </w:rPr>
        <w:t>Nota per la compilazione: inserire i dati relativi a tutti i conti correnti intestati alla Società, che si intende utilizzare in relazione alle transazioni finanziarie relative al presente contratto, e i dati delle rispettive persone delegate ad operare sugli stessi</w:t>
      </w:r>
      <w:r w:rsidRPr="00806A57">
        <w:rPr>
          <w:rFonts w:ascii="Titillium" w:eastAsia="Titilium" w:hAnsi="Titillium" w:cs="Titilium"/>
          <w:sz w:val="21"/>
          <w:szCs w:val="21"/>
        </w:rPr>
        <w:t>)</w:t>
      </w:r>
    </w:p>
    <w:p w:rsidR="004B1596" w:rsidRPr="00806A57" w:rsidRDefault="004B1596">
      <w:pPr>
        <w:spacing w:after="0" w:line="240" w:lineRule="auto"/>
        <w:rPr>
          <w:rFonts w:ascii="Titillium" w:eastAsia="Titilium" w:hAnsi="Titillium" w:cs="Titilium"/>
          <w:sz w:val="21"/>
          <w:szCs w:val="21"/>
        </w:rPr>
      </w:pP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Istituto di Credito ...........................................................................................................................</w:t>
      </w: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Agenzia di ....................................................................................................................................</w:t>
      </w:r>
    </w:p>
    <w:p w:rsidR="004B1596" w:rsidRPr="00806A57" w:rsidRDefault="004B1596">
      <w:pPr>
        <w:spacing w:after="0" w:line="240" w:lineRule="auto"/>
        <w:ind w:left="720"/>
        <w:rPr>
          <w:rFonts w:ascii="Titillium" w:eastAsia="Titilium" w:hAnsi="Titillium" w:cs="Titilium"/>
          <w:sz w:val="21"/>
          <w:szCs w:val="21"/>
        </w:rPr>
      </w:pPr>
    </w:p>
    <w:p w:rsidR="004B1596" w:rsidRPr="00806A57" w:rsidRDefault="004C69A7">
      <w:pPr>
        <w:spacing w:after="0" w:line="240" w:lineRule="auto"/>
        <w:ind w:firstLine="709"/>
        <w:rPr>
          <w:rFonts w:ascii="Titillium" w:eastAsia="Titilium" w:hAnsi="Titillium" w:cs="Titilium"/>
          <w:i/>
          <w:sz w:val="21"/>
          <w:szCs w:val="21"/>
        </w:rPr>
      </w:pPr>
      <w:r w:rsidRPr="00806A57">
        <w:rPr>
          <w:rFonts w:ascii="Titillium" w:eastAsia="Titilium" w:hAnsi="Titillium" w:cs="Titilium"/>
          <w:i/>
          <w:sz w:val="21"/>
          <w:szCs w:val="21"/>
        </w:rPr>
        <w:t>OPPURE</w:t>
      </w:r>
    </w:p>
    <w:p w:rsidR="004B1596" w:rsidRPr="00806A57" w:rsidRDefault="004B1596">
      <w:pPr>
        <w:spacing w:after="0" w:line="240" w:lineRule="auto"/>
        <w:rPr>
          <w:rFonts w:ascii="Titillium" w:eastAsia="Titilium" w:hAnsi="Titillium" w:cs="Titilium"/>
          <w:sz w:val="21"/>
          <w:szCs w:val="21"/>
        </w:rPr>
      </w:pP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Poste Italiane S.p.A. - Ufficio postale di ........................................................................................</w:t>
      </w:r>
    </w:p>
    <w:p w:rsidR="004B1596" w:rsidRPr="00806A57" w:rsidRDefault="004C69A7">
      <w:pPr>
        <w:spacing w:after="0" w:line="240" w:lineRule="auto"/>
        <w:ind w:left="720"/>
        <w:rPr>
          <w:rFonts w:ascii="Titillium" w:eastAsia="Titilium" w:hAnsi="Titillium" w:cs="Titilium"/>
          <w:sz w:val="21"/>
          <w:szCs w:val="21"/>
        </w:rPr>
      </w:pPr>
      <w:r w:rsidRPr="00806A57">
        <w:rPr>
          <w:rFonts w:ascii="Titillium" w:eastAsia="Titilium" w:hAnsi="Titillium" w:cs="Titilium"/>
          <w:sz w:val="21"/>
          <w:szCs w:val="21"/>
        </w:rPr>
        <w:t>Indirizzo ........................................................................................................................................</w:t>
      </w:r>
    </w:p>
    <w:p w:rsidR="004B1596" w:rsidRPr="00806A57" w:rsidRDefault="004B1596">
      <w:pPr>
        <w:spacing w:after="0" w:line="240" w:lineRule="auto"/>
        <w:ind w:firstLine="720"/>
        <w:jc w:val="both"/>
        <w:rPr>
          <w:rFonts w:ascii="Titillium" w:eastAsia="Titilium" w:hAnsi="Titillium" w:cs="Titilium"/>
          <w:sz w:val="21"/>
          <w:szCs w:val="21"/>
        </w:rPr>
      </w:pPr>
    </w:p>
    <w:p w:rsidR="004B1596" w:rsidRPr="00806A57" w:rsidRDefault="004C69A7">
      <w:pPr>
        <w:spacing w:after="0" w:line="240" w:lineRule="auto"/>
        <w:ind w:firstLine="720"/>
        <w:jc w:val="both"/>
        <w:rPr>
          <w:rFonts w:ascii="Titillium" w:eastAsia="Titilium" w:hAnsi="Titillium" w:cs="Titilium"/>
          <w:sz w:val="21"/>
          <w:szCs w:val="21"/>
        </w:rPr>
      </w:pPr>
      <w:r w:rsidRPr="00806A57">
        <w:rPr>
          <w:rFonts w:ascii="Titillium" w:eastAsia="Titilium" w:hAnsi="Titillium" w:cs="Titilium"/>
          <w:sz w:val="21"/>
          <w:szCs w:val="21"/>
        </w:rPr>
        <w:t>CODICE IBAN:</w:t>
      </w:r>
    </w:p>
    <w:p w:rsidR="004B1596" w:rsidRPr="00806A57" w:rsidRDefault="004B1596">
      <w:pPr>
        <w:spacing w:after="0" w:line="240" w:lineRule="auto"/>
        <w:jc w:val="both"/>
        <w:rPr>
          <w:rFonts w:ascii="Titillium" w:eastAsia="Titilium" w:hAnsi="Titillium" w:cs="Titilium"/>
          <w:sz w:val="21"/>
          <w:szCs w:val="21"/>
        </w:rPr>
      </w:pPr>
    </w:p>
    <w:tbl>
      <w:tblPr>
        <w:tblStyle w:val="a7"/>
        <w:tblW w:w="5022" w:type="dxa"/>
        <w:tblInd w:w="80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tblGrid>
      <w:tr w:rsidR="004B1596" w:rsidRPr="00806A57">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c>
          <w:tcPr>
            <w:tcW w:w="186" w:type="dxa"/>
            <w:tcBorders>
              <w:top w:val="single" w:sz="6" w:space="0" w:color="000000"/>
              <w:left w:val="single" w:sz="6" w:space="0" w:color="000000"/>
              <w:bottom w:val="single" w:sz="6" w:space="0" w:color="000000"/>
              <w:right w:val="single" w:sz="6" w:space="0" w:color="000000"/>
            </w:tcBorders>
            <w:vAlign w:val="center"/>
          </w:tcPr>
          <w:p w:rsidR="004B1596" w:rsidRPr="00806A57" w:rsidRDefault="004B1596">
            <w:pPr>
              <w:tabs>
                <w:tab w:val="left" w:pos="2340"/>
              </w:tabs>
              <w:spacing w:after="0" w:line="240" w:lineRule="auto"/>
              <w:jc w:val="both"/>
              <w:rPr>
                <w:rFonts w:ascii="Titillium" w:eastAsia="Titilium" w:hAnsi="Titillium" w:cs="Titilium"/>
                <w:sz w:val="21"/>
                <w:szCs w:val="21"/>
              </w:rPr>
            </w:pPr>
          </w:p>
        </w:tc>
      </w:tr>
    </w:tbl>
    <w:p w:rsidR="004B1596" w:rsidRPr="00806A57" w:rsidRDefault="004B1596">
      <w:pPr>
        <w:spacing w:after="0" w:line="240" w:lineRule="auto"/>
        <w:ind w:hanging="720"/>
        <w:jc w:val="both"/>
        <w:rPr>
          <w:rFonts w:ascii="Titillium" w:eastAsia="Titilium" w:hAnsi="Titillium" w:cs="Titilium"/>
          <w:sz w:val="21"/>
          <w:szCs w:val="21"/>
        </w:rPr>
      </w:pPr>
    </w:p>
    <w:p w:rsidR="004B1596" w:rsidRPr="00806A57" w:rsidRDefault="004C69A7">
      <w:pPr>
        <w:spacing w:after="0" w:line="240" w:lineRule="auto"/>
        <w:ind w:firstLine="720"/>
        <w:rPr>
          <w:rFonts w:ascii="Titillium" w:eastAsia="Titilium" w:hAnsi="Titillium" w:cs="Titilium"/>
          <w:sz w:val="21"/>
          <w:szCs w:val="21"/>
        </w:rPr>
      </w:pPr>
      <w:r w:rsidRPr="00806A57">
        <w:rPr>
          <w:rFonts w:ascii="Titillium" w:eastAsia="Titilium" w:hAnsi="Titillium" w:cs="Titilium"/>
          <w:sz w:val="21"/>
          <w:szCs w:val="21"/>
        </w:rPr>
        <w:t>Intestatario del conto: .............................................................................................................</w:t>
      </w:r>
    </w:p>
    <w:p w:rsidR="004B1596" w:rsidRPr="00806A57" w:rsidRDefault="004B1596">
      <w:pPr>
        <w:spacing w:after="0" w:line="240" w:lineRule="auto"/>
        <w:ind w:firstLine="720"/>
        <w:jc w:val="both"/>
        <w:rPr>
          <w:rFonts w:ascii="Titillium" w:eastAsia="Titilium" w:hAnsi="Titillium" w:cs="Titilium"/>
          <w:sz w:val="21"/>
          <w:szCs w:val="21"/>
        </w:rPr>
      </w:pPr>
    </w:p>
    <w:p w:rsidR="004B1596" w:rsidRPr="00806A57" w:rsidRDefault="004C69A7">
      <w:pPr>
        <w:spacing w:after="0" w:line="240" w:lineRule="auto"/>
        <w:ind w:firstLine="720"/>
        <w:jc w:val="both"/>
        <w:rPr>
          <w:rFonts w:ascii="Titillium" w:eastAsia="Titilium" w:hAnsi="Titillium" w:cs="Titilium"/>
          <w:sz w:val="21"/>
          <w:szCs w:val="21"/>
        </w:rPr>
      </w:pPr>
      <w:r w:rsidRPr="00806A57">
        <w:rPr>
          <w:rFonts w:ascii="Titillium" w:eastAsia="Titilium" w:hAnsi="Titillium" w:cs="Titilium"/>
          <w:sz w:val="21"/>
          <w:szCs w:val="21"/>
        </w:rPr>
        <w:t>C.F. |_|_|_|_|_|_|_|_|_|_|_|_|_|_|_|_|</w:t>
      </w:r>
    </w:p>
    <w:p w:rsidR="004B1596" w:rsidRPr="00806A57" w:rsidRDefault="004B1596">
      <w:pPr>
        <w:spacing w:after="0" w:line="240" w:lineRule="auto"/>
        <w:ind w:left="720"/>
        <w:jc w:val="both"/>
        <w:rPr>
          <w:rFonts w:ascii="Titillium" w:eastAsia="Titilium" w:hAnsi="Titillium" w:cs="Titilium"/>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che le persone delegate ad operare sul suddetto conto sono:</w:t>
      </w:r>
    </w:p>
    <w:p w:rsidR="004B1596" w:rsidRPr="00806A57" w:rsidRDefault="004B1596">
      <w:pPr>
        <w:spacing w:after="0" w:line="240" w:lineRule="auto"/>
        <w:ind w:left="720"/>
        <w:jc w:val="both"/>
        <w:rPr>
          <w:rFonts w:ascii="Titillium" w:eastAsia="Titilium" w:hAnsi="Titillium" w:cs="Titilium"/>
          <w:sz w:val="21"/>
          <w:szCs w:val="21"/>
        </w:rPr>
      </w:pP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C69A7">
      <w:pPr>
        <w:numPr>
          <w:ilvl w:val="0"/>
          <w:numId w:val="2"/>
        </w:numPr>
        <w:pBdr>
          <w:top w:val="nil"/>
          <w:left w:val="nil"/>
          <w:bottom w:val="nil"/>
          <w:right w:val="nil"/>
          <w:between w:val="nil"/>
        </w:pBdr>
        <w:spacing w:after="0" w:line="240" w:lineRule="auto"/>
        <w:ind w:left="360" w:firstLine="348"/>
        <w:jc w:val="both"/>
        <w:rPr>
          <w:rFonts w:ascii="Titillium" w:eastAsia="Titilium" w:hAnsi="Titillium" w:cs="Titilium"/>
          <w:color w:val="000000"/>
          <w:sz w:val="21"/>
          <w:szCs w:val="21"/>
        </w:rPr>
      </w:pPr>
      <w:r w:rsidRPr="00806A57">
        <w:rPr>
          <w:rFonts w:ascii="Titillium" w:eastAsia="Titilium" w:hAnsi="Titillium" w:cs="Titilium"/>
          <w:color w:val="000000"/>
          <w:sz w:val="21"/>
          <w:szCs w:val="21"/>
        </w:rPr>
        <w:t xml:space="preserve">Sig. …………………………………………… C.F. |_|_|_|_|_|_|_|_|_|_|_|_|_|_|_|_| </w:t>
      </w:r>
    </w:p>
    <w:p w:rsidR="004B1596" w:rsidRPr="00806A57" w:rsidRDefault="004B1596">
      <w:pPr>
        <w:pBdr>
          <w:top w:val="nil"/>
          <w:left w:val="nil"/>
          <w:bottom w:val="nil"/>
          <w:right w:val="nil"/>
          <w:between w:val="nil"/>
        </w:pBdr>
        <w:spacing w:after="0" w:line="240" w:lineRule="auto"/>
        <w:ind w:left="708"/>
        <w:jc w:val="both"/>
        <w:rPr>
          <w:rFonts w:ascii="Titillium" w:eastAsia="Titilium" w:hAnsi="Titillium" w:cs="Titilium"/>
          <w:color w:val="000000"/>
          <w:sz w:val="21"/>
          <w:szCs w:val="21"/>
        </w:rPr>
      </w:pP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assumere tutti gli obblighi di tracciabilità dei flussi finanziari di cui all’art. 3 della Legge 136/2010 e successive modifiche ed integrazioni, e di essere a conoscenza del fatto che il mancato utilizzo del bonifico bancario o postale ovvero degli altri strumenti idonei a consentire la piena tracciabilità delle operazioni determina la risoluzione di diritto del contratto di cui in premessa;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inserire i Codici CIG e CUP, relativi alla commessa indicata in premessa, sulle fatture che saranno presentate all’“</w:t>
      </w:r>
      <w:r w:rsidRPr="00806A57">
        <w:rPr>
          <w:rFonts w:ascii="Titillium" w:eastAsia="Titilium" w:hAnsi="Titillium" w:cs="Titilium"/>
          <w:b/>
          <w:i/>
          <w:sz w:val="21"/>
          <w:szCs w:val="21"/>
        </w:rPr>
        <w:t>Istituto Nazionale di Astrofisica – Osservatorio di Astrofisica e Scienza dello Spazio di Bologna</w:t>
      </w:r>
      <w:r w:rsidRPr="00806A57">
        <w:rPr>
          <w:rFonts w:ascii="Titillium" w:eastAsia="Titilium" w:hAnsi="Titillium" w:cs="Titilium"/>
          <w:sz w:val="21"/>
          <w:szCs w:val="21"/>
        </w:rPr>
        <w:t>” e sui bonifici bancari e postali relativi a ciascuna transazione posta in essere in relazione alle prestazioni di cui al contratto richiamato in premessa;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inserire nei contratti sottoscritti con i subappaltatori e i subcontraenti, in relazione all’affidamento richiamato in premessa, a pena di nullità assoluta, un’apposita clausola con la quale ciascuno di essi assume gli obblighi di tracciabilità dei flussi finanziari di cui alla legge sopra richiamata;</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dare immediata comunicazione all’</w:t>
      </w:r>
      <w:r w:rsidRPr="00806A57">
        <w:rPr>
          <w:rFonts w:ascii="Titillium" w:eastAsia="Titilium" w:hAnsi="Titillium" w:cs="Titilium"/>
          <w:b/>
          <w:i/>
          <w:sz w:val="21"/>
          <w:szCs w:val="21"/>
        </w:rPr>
        <w:t xml:space="preserve"> </w:t>
      </w:r>
      <w:r w:rsidRPr="00806A57">
        <w:rPr>
          <w:rFonts w:ascii="Titillium" w:eastAsia="Titilium" w:hAnsi="Titillium" w:cs="Titilium"/>
          <w:sz w:val="21"/>
          <w:szCs w:val="21"/>
        </w:rPr>
        <w:t>“</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xml:space="preserve"> dell’inadempimento della propria controparte agli obblighi di tracciabilità finanziaria di cui all’art. 3 legge 136/2010;</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ad informare 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di qualsiasi modifica dei dati oggetto della presente comunicazione, entro un termine non superiore a 7 giorni;</w:t>
      </w:r>
    </w:p>
    <w:p w:rsidR="004B1596" w:rsidRPr="00806A57" w:rsidRDefault="004C69A7">
      <w:pPr>
        <w:numPr>
          <w:ilvl w:val="0"/>
          <w:numId w:val="1"/>
        </w:numPr>
        <w:spacing w:after="0" w:line="240" w:lineRule="auto"/>
        <w:jc w:val="both"/>
        <w:rPr>
          <w:rFonts w:ascii="Titillium" w:eastAsia="Titilium" w:hAnsi="Titillium" w:cs="Titilium"/>
          <w:sz w:val="21"/>
          <w:szCs w:val="21"/>
        </w:rPr>
      </w:pPr>
      <w:r w:rsidRPr="00806A57">
        <w:rPr>
          <w:rFonts w:ascii="Titillium" w:eastAsia="Titilium" w:hAnsi="Titillium" w:cs="Titilium"/>
          <w:b/>
          <w:i/>
          <w:sz w:val="21"/>
          <w:szCs w:val="21"/>
        </w:rPr>
        <w:t>in caso di cessione del credito</w:t>
      </w:r>
      <w:r w:rsidRPr="00806A57">
        <w:rPr>
          <w:rFonts w:ascii="Titillium" w:eastAsia="Titilium" w:hAnsi="Titillium" w:cs="Titilium"/>
          <w:sz w:val="21"/>
          <w:szCs w:val="21"/>
        </w:rPr>
        <w:t xml:space="preserve">: </w:t>
      </w:r>
    </w:p>
    <w:p w:rsidR="004B1596" w:rsidRPr="00806A57" w:rsidRDefault="004C69A7">
      <w:pPr>
        <w:numPr>
          <w:ilvl w:val="1"/>
          <w:numId w:val="1"/>
        </w:numPr>
        <w:spacing w:after="0" w:line="240" w:lineRule="auto"/>
        <w:jc w:val="both"/>
        <w:rPr>
          <w:rFonts w:ascii="Titillium" w:eastAsia="Titilium" w:hAnsi="Titillium" w:cs="Titilium"/>
          <w:sz w:val="21"/>
          <w:szCs w:val="21"/>
        </w:rPr>
      </w:pPr>
      <w:bookmarkStart w:id="1" w:name="_heading=h.gjdgxs" w:colFirst="0" w:colLast="0"/>
      <w:bookmarkEnd w:id="1"/>
      <w:r w:rsidRPr="00806A57">
        <w:rPr>
          <w:rFonts w:ascii="Titillium" w:eastAsia="Titilium" w:hAnsi="Titillium" w:cs="Titilium"/>
          <w:sz w:val="21"/>
          <w:szCs w:val="21"/>
        </w:rPr>
        <w:t>di impegnarsi a trasmettere all’“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xml:space="preserve">”, unitamente alla comunicazione inerente la cessione del credito, il numero del conto corrente bancario o postale dedicato anche in via non esclusiva alla presente commessa pubblica, </w:t>
      </w:r>
      <w:r w:rsidRPr="00806A57">
        <w:rPr>
          <w:rFonts w:ascii="Titillium" w:eastAsia="Titilium" w:hAnsi="Titillium" w:cs="Titilium"/>
          <w:b/>
          <w:sz w:val="21"/>
          <w:szCs w:val="21"/>
        </w:rPr>
        <w:t>intestato al cessionario</w:t>
      </w:r>
      <w:r w:rsidRPr="00806A57">
        <w:rPr>
          <w:rFonts w:ascii="Titillium" w:eastAsia="Titilium" w:hAnsi="Titillium" w:cs="Titilium"/>
          <w:sz w:val="21"/>
          <w:szCs w:val="21"/>
        </w:rPr>
        <w:t>, che dovrà essere utilizzato dall’“</w:t>
      </w:r>
      <w:r w:rsidRPr="00806A57">
        <w:rPr>
          <w:rFonts w:ascii="Titillium" w:eastAsia="Titilium" w:hAnsi="Titillium" w:cs="Titilium"/>
          <w:b/>
          <w:i/>
          <w:sz w:val="21"/>
          <w:szCs w:val="21"/>
        </w:rPr>
        <w:t>Istituto Nazionale di Astrofisica</w:t>
      </w:r>
      <w:r w:rsidRPr="00806A57">
        <w:rPr>
          <w:rFonts w:ascii="Titillium" w:eastAsia="Titilium" w:hAnsi="Titillium" w:cs="Titilium"/>
          <w:sz w:val="21"/>
          <w:szCs w:val="21"/>
        </w:rPr>
        <w:t>” per effettuare l’accreditamento per il pagamento dei corrispettivi contrattuali, nonché i nominativi e i codici fiscali delle persone delegate ad operarvi;</w:t>
      </w:r>
    </w:p>
    <w:p w:rsidR="004B1596" w:rsidRPr="00806A57" w:rsidRDefault="004C69A7">
      <w:pPr>
        <w:numPr>
          <w:ilvl w:val="1"/>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fornire al cessionario del credito il numero di conto corrente dedicato, anche in via non esclusiva, alla presente commessa pubblica, tra quelli indicati nella presente comunicazione, sul quale ricevere dal medesimo cessionario gli anticipi dei pagamenti;</w:t>
      </w:r>
    </w:p>
    <w:p w:rsidR="004B1596" w:rsidRPr="00806A57" w:rsidRDefault="004C69A7">
      <w:pPr>
        <w:numPr>
          <w:ilvl w:val="1"/>
          <w:numId w:val="1"/>
        </w:numPr>
        <w:spacing w:after="0" w:line="240" w:lineRule="auto"/>
        <w:jc w:val="both"/>
        <w:rPr>
          <w:rFonts w:ascii="Titillium" w:eastAsia="Titilium" w:hAnsi="Titillium" w:cs="Titilium"/>
          <w:sz w:val="21"/>
          <w:szCs w:val="21"/>
        </w:rPr>
      </w:pPr>
      <w:r w:rsidRPr="00806A57">
        <w:rPr>
          <w:rFonts w:ascii="Titillium" w:eastAsia="Titilium" w:hAnsi="Titillium" w:cs="Titilium"/>
          <w:sz w:val="21"/>
          <w:szCs w:val="21"/>
        </w:rPr>
        <w:t>di impegnarsi a ricevere i pagamenti dal cessionario mediante bonifici bancari o postali o con altri strumenti idonei a consentire la tracciabilità delle operazioni, con l’indicazione obbligatoria dei Codici CIG e CUP assegnati al contratto richiamato in premessa.</w:t>
      </w:r>
    </w:p>
    <w:p w:rsidR="004B1596" w:rsidRPr="00806A57" w:rsidRDefault="004B1596">
      <w:pPr>
        <w:spacing w:after="0" w:line="240" w:lineRule="auto"/>
        <w:ind w:left="240"/>
        <w:rPr>
          <w:rFonts w:ascii="Titillium" w:eastAsia="Titilium" w:hAnsi="Titillium" w:cs="Titilium"/>
          <w:sz w:val="21"/>
          <w:szCs w:val="21"/>
        </w:rPr>
      </w:pPr>
    </w:p>
    <w:p w:rsidR="004B1596" w:rsidRPr="00806A57" w:rsidRDefault="004B1596">
      <w:pPr>
        <w:spacing w:after="0" w:line="240" w:lineRule="auto"/>
        <w:ind w:left="240"/>
        <w:rPr>
          <w:rFonts w:ascii="Titillium" w:eastAsia="Titilium" w:hAnsi="Titillium" w:cs="Titilium"/>
          <w:sz w:val="21"/>
          <w:szCs w:val="21"/>
        </w:rPr>
      </w:pPr>
    </w:p>
    <w:p w:rsidR="004B1596" w:rsidRPr="00806A57" w:rsidRDefault="004C69A7">
      <w:pPr>
        <w:spacing w:after="0" w:line="240" w:lineRule="auto"/>
        <w:ind w:left="240"/>
        <w:rPr>
          <w:rFonts w:ascii="Titillium" w:eastAsia="Titilium" w:hAnsi="Titillium" w:cs="Titilium"/>
          <w:sz w:val="21"/>
          <w:szCs w:val="21"/>
        </w:rPr>
      </w:pPr>
      <w:r w:rsidRPr="00806A57">
        <w:rPr>
          <w:rFonts w:ascii="Titillium" w:eastAsia="Titilium" w:hAnsi="Titillium" w:cs="Titilium"/>
          <w:sz w:val="21"/>
          <w:szCs w:val="21"/>
        </w:rPr>
        <w:t>Luogo e data ......................................................</w:t>
      </w: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806A57" w:rsidRDefault="004C69A7">
      <w:pPr>
        <w:spacing w:after="0" w:line="240" w:lineRule="auto"/>
        <w:ind w:left="5040"/>
        <w:jc w:val="center"/>
        <w:rPr>
          <w:rFonts w:ascii="Titillium" w:eastAsia="Titilium" w:hAnsi="Titillium" w:cs="Titilium"/>
          <w:b/>
          <w:sz w:val="21"/>
          <w:szCs w:val="21"/>
        </w:rPr>
      </w:pPr>
      <w:r w:rsidRPr="00806A57">
        <w:rPr>
          <w:rFonts w:ascii="Titillium" w:eastAsia="Titilium" w:hAnsi="Titillium" w:cs="Titilium"/>
          <w:b/>
          <w:sz w:val="21"/>
          <w:szCs w:val="21"/>
        </w:rPr>
        <w:t>Firma</w:t>
      </w:r>
      <w:r w:rsidRPr="00806A57">
        <w:rPr>
          <w:rFonts w:ascii="Titillium" w:eastAsia="Titilium" w:hAnsi="Titillium" w:cs="Titilium"/>
          <w:b/>
          <w:sz w:val="21"/>
          <w:szCs w:val="21"/>
          <w:vertAlign w:val="superscript"/>
        </w:rPr>
        <w:footnoteReference w:id="1"/>
      </w:r>
    </w:p>
    <w:p w:rsidR="004B1596" w:rsidRPr="00806A57" w:rsidRDefault="004B1596">
      <w:pPr>
        <w:spacing w:after="0" w:line="240" w:lineRule="auto"/>
        <w:ind w:left="5040"/>
        <w:jc w:val="center"/>
        <w:rPr>
          <w:rFonts w:ascii="Titillium" w:eastAsia="Titilium" w:hAnsi="Titillium" w:cs="Titilium"/>
          <w:b/>
          <w:sz w:val="21"/>
          <w:szCs w:val="21"/>
        </w:rPr>
      </w:pPr>
    </w:p>
    <w:p w:rsidR="004B1596" w:rsidRPr="00043C39" w:rsidRDefault="004C69A7" w:rsidP="00043C39">
      <w:pPr>
        <w:spacing w:line="240" w:lineRule="auto"/>
        <w:ind w:firstLine="4678"/>
        <w:rPr>
          <w:rFonts w:ascii="Titillium" w:eastAsia="Titilium" w:hAnsi="Titillium" w:cs="Titilium"/>
          <w:sz w:val="21"/>
          <w:szCs w:val="21"/>
        </w:rPr>
      </w:pPr>
      <w:r w:rsidRPr="00806A57">
        <w:rPr>
          <w:rFonts w:ascii="Titillium" w:eastAsia="Titilium" w:hAnsi="Titillium" w:cs="Titilium"/>
          <w:sz w:val="21"/>
          <w:szCs w:val="21"/>
        </w:rPr>
        <w:t>_________</w:t>
      </w:r>
      <w:r w:rsidR="00043C39">
        <w:rPr>
          <w:rFonts w:ascii="Titillium" w:eastAsia="Titilium" w:hAnsi="Titillium" w:cs="Titilium"/>
          <w:sz w:val="21"/>
          <w:szCs w:val="21"/>
        </w:rPr>
        <w:t>____________________________</w:t>
      </w:r>
    </w:p>
    <w:sectPr w:rsidR="004B1596" w:rsidRPr="00043C39">
      <w:headerReference w:type="default" r:id="rId8"/>
      <w:footerReference w:type="even" r:id="rId9"/>
      <w:footerReference w:type="default" r:id="rId10"/>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624" w:rsidRDefault="003A4624">
      <w:pPr>
        <w:spacing w:after="0" w:line="240" w:lineRule="auto"/>
      </w:pPr>
      <w:r>
        <w:separator/>
      </w:r>
    </w:p>
  </w:endnote>
  <w:endnote w:type="continuationSeparator" w:id="0">
    <w:p w:rsidR="003A4624" w:rsidRDefault="003A4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596" w:rsidRDefault="004C69A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1E5666">
      <w:rPr>
        <w:noProof/>
        <w:color w:val="000000"/>
      </w:rPr>
      <w:t>4</w:t>
    </w:r>
    <w:r>
      <w:rPr>
        <w:color w:val="000000"/>
      </w:rPr>
      <w:fldChar w:fldCharType="end"/>
    </w:r>
  </w:p>
  <w:p w:rsidR="004B1596" w:rsidRDefault="004B1596">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624" w:rsidRDefault="003A4624">
      <w:pPr>
        <w:spacing w:after="0" w:line="240" w:lineRule="auto"/>
      </w:pPr>
      <w:r>
        <w:separator/>
      </w:r>
    </w:p>
  </w:footnote>
  <w:footnote w:type="continuationSeparator" w:id="0">
    <w:p w:rsidR="003A4624" w:rsidRDefault="003A4624">
      <w:pPr>
        <w:spacing w:after="0" w:line="240" w:lineRule="auto"/>
      </w:pPr>
      <w:r>
        <w:continuationSeparator/>
      </w:r>
    </w:p>
  </w:footnote>
  <w:footnote w:id="1">
    <w:p w:rsidR="004B1596" w:rsidRDefault="004C69A7">
      <w:pPr>
        <w:pBdr>
          <w:top w:val="nil"/>
          <w:left w:val="nil"/>
          <w:bottom w:val="nil"/>
          <w:right w:val="nil"/>
          <w:between w:val="nil"/>
        </w:pBdr>
        <w:spacing w:after="0" w:line="240" w:lineRule="auto"/>
        <w:rPr>
          <w:rFonts w:ascii="Titilium" w:eastAsia="Titilium" w:hAnsi="Titilium" w:cs="Titilium"/>
          <w:color w:val="000000"/>
          <w:sz w:val="20"/>
          <w:szCs w:val="20"/>
        </w:rPr>
      </w:pPr>
      <w:r>
        <w:rPr>
          <w:vertAlign w:val="superscript"/>
        </w:rPr>
        <w:footnoteRef/>
      </w:r>
      <w:r>
        <w:rPr>
          <w:color w:val="000000"/>
          <w:sz w:val="20"/>
          <w:szCs w:val="20"/>
        </w:rPr>
        <w:t xml:space="preserve"> </w:t>
      </w:r>
      <w:r>
        <w:rPr>
          <w:rFonts w:ascii="Titilium" w:eastAsia="Titilium" w:hAnsi="Titilium" w:cs="Titilium"/>
          <w:color w:val="000000"/>
          <w:sz w:val="20"/>
          <w:szCs w:val="20"/>
        </w:rPr>
        <w:t>Nota per la sottoscrizione: la comunicazione può essere sottoscritta con firma digitale o con firma autografa. In caso di sottoscrizione con firma autografa, la comunicazione dovrà essere accompagnata da una copia di un documento di identità del sottoscrittore, in corso di validità.</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175" w:rsidRDefault="002F0175">
    <w:pPr>
      <w:pStyle w:val="Intestazione"/>
    </w:pPr>
    <w:r w:rsidRPr="00806A57">
      <w:rPr>
        <w:rFonts w:ascii="Titillium" w:eastAsia="Times New Roman" w:hAnsi="Titillium"/>
        <w:b/>
        <w:noProof/>
        <w:sz w:val="21"/>
        <w:szCs w:val="21"/>
      </w:rPr>
      <w:drawing>
        <wp:anchor distT="0" distB="0" distL="114300" distR="114300" simplePos="0" relativeHeight="251658240" behindDoc="1" locked="0" layoutInCell="1" allowOverlap="1">
          <wp:simplePos x="0" y="0"/>
          <wp:positionH relativeFrom="page">
            <wp:align>left</wp:align>
          </wp:positionH>
          <wp:positionV relativeFrom="paragraph">
            <wp:posOffset>-449580</wp:posOffset>
          </wp:positionV>
          <wp:extent cx="7551420" cy="868680"/>
          <wp:effectExtent l="0" t="0" r="0" b="7620"/>
          <wp:wrapTight wrapText="bothSides">
            <wp:wrapPolygon edited="0">
              <wp:start x="0" y="0"/>
              <wp:lineTo x="0" y="21316"/>
              <wp:lineTo x="21524" y="21316"/>
              <wp:lineTo x="21524"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551420" cy="86868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0D3A"/>
    <w:multiLevelType w:val="multilevel"/>
    <w:tmpl w:val="3B42D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D717725"/>
    <w:multiLevelType w:val="multilevel"/>
    <w:tmpl w:val="0F185FE2"/>
    <w:lvl w:ilvl="0">
      <w:start w:val="1"/>
      <w:numFmt w:val="decimal"/>
      <w:lvlText w:val="%1)"/>
      <w:lvlJc w:val="left"/>
      <w:pPr>
        <w:ind w:left="2629"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596"/>
    <w:rsid w:val="00043C39"/>
    <w:rsid w:val="000A3E25"/>
    <w:rsid w:val="001A0737"/>
    <w:rsid w:val="001C43F2"/>
    <w:rsid w:val="001E5666"/>
    <w:rsid w:val="002643EE"/>
    <w:rsid w:val="002C56B8"/>
    <w:rsid w:val="002F0175"/>
    <w:rsid w:val="003A4624"/>
    <w:rsid w:val="00424AEB"/>
    <w:rsid w:val="004B1596"/>
    <w:rsid w:val="004C69A7"/>
    <w:rsid w:val="00607D48"/>
    <w:rsid w:val="006F4C66"/>
    <w:rsid w:val="00806A57"/>
    <w:rsid w:val="00A04A8C"/>
    <w:rsid w:val="00C414C7"/>
    <w:rsid w:val="00C9711F"/>
    <w:rsid w:val="00D126DB"/>
    <w:rsid w:val="00D82012"/>
    <w:rsid w:val="00EE09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07A57AD-3CBE-4CFF-B5B8-A53A85C02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40A25"/>
    <w:rPr>
      <w:rFonts w:cs="Times New Roman"/>
    </w:rPr>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link w:val="Titolo3Carattere"/>
    <w:uiPriority w:val="9"/>
    <w:semiHidden/>
    <w:unhideWhenUsed/>
    <w:qFormat/>
    <w:rsid w:val="0010238C"/>
    <w:pPr>
      <w:spacing w:before="100" w:beforeAutospacing="1" w:after="100" w:afterAutospacing="1" w:line="240" w:lineRule="auto"/>
      <w:outlineLvl w:val="2"/>
    </w:pPr>
    <w:rPr>
      <w:rFonts w:ascii="Times New Roman" w:eastAsia="Times New Roman" w:hAnsi="Times New Roman"/>
      <w:b/>
      <w:bCs/>
      <w:sz w:val="27"/>
      <w:szCs w:val="27"/>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ientrocorpodeltesto">
    <w:name w:val="Body Text Indent"/>
    <w:basedOn w:val="Normale"/>
    <w:link w:val="RientrocorpodeltestoCarattere"/>
    <w:rsid w:val="00640A25"/>
    <w:pPr>
      <w:spacing w:after="120" w:line="240" w:lineRule="auto"/>
      <w:ind w:left="283"/>
    </w:pPr>
    <w:rPr>
      <w:rFonts w:ascii="Arial" w:eastAsia="Times New Roman" w:hAnsi="Arial"/>
      <w:sz w:val="24"/>
      <w:szCs w:val="24"/>
    </w:rPr>
  </w:style>
  <w:style w:type="character" w:customStyle="1" w:styleId="RientrocorpodeltestoCarattere">
    <w:name w:val="Rientro corpo del testo Carattere"/>
    <w:basedOn w:val="Carpredefinitoparagrafo"/>
    <w:link w:val="Rientrocorpodeltesto"/>
    <w:rsid w:val="00640A25"/>
    <w:rPr>
      <w:rFonts w:ascii="Arial" w:eastAsia="Times New Roman" w:hAnsi="Arial" w:cs="Times New Roman"/>
      <w:szCs w:val="24"/>
      <w:lang w:eastAsia="it-IT"/>
    </w:rPr>
  </w:style>
  <w:style w:type="table" w:styleId="Grigliatabella">
    <w:name w:val="Table Grid"/>
    <w:basedOn w:val="Tabellanormale"/>
    <w:rsid w:val="00640A25"/>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640A25"/>
    <w:pPr>
      <w:tabs>
        <w:tab w:val="center" w:pos="4819"/>
        <w:tab w:val="right" w:pos="9638"/>
      </w:tabs>
    </w:pPr>
  </w:style>
  <w:style w:type="character" w:customStyle="1" w:styleId="PidipaginaCarattere">
    <w:name w:val="Piè di pagina Carattere"/>
    <w:basedOn w:val="Carpredefinitoparagrafo"/>
    <w:link w:val="Pidipagina"/>
    <w:rsid w:val="00640A25"/>
    <w:rPr>
      <w:rFonts w:ascii="Calibri" w:eastAsia="Calibri" w:hAnsi="Calibri" w:cs="Times New Roman"/>
      <w:sz w:val="22"/>
    </w:rPr>
  </w:style>
  <w:style w:type="character" w:styleId="Numeropagina">
    <w:name w:val="page number"/>
    <w:basedOn w:val="Carpredefinitoparagrafo"/>
    <w:rsid w:val="00640A25"/>
  </w:style>
  <w:style w:type="character" w:customStyle="1" w:styleId="Titolo3Carattere">
    <w:name w:val="Titolo 3 Carattere"/>
    <w:basedOn w:val="Carpredefinitoparagrafo"/>
    <w:link w:val="Titolo3"/>
    <w:uiPriority w:val="9"/>
    <w:rsid w:val="0010238C"/>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F33E36"/>
    <w:pPr>
      <w:ind w:left="720"/>
      <w:contextualSpacing/>
    </w:pPr>
  </w:style>
  <w:style w:type="paragraph" w:styleId="Testonotaapidipagina">
    <w:name w:val="footnote text"/>
    <w:basedOn w:val="Normale"/>
    <w:link w:val="TestonotaapidipaginaCarattere"/>
    <w:uiPriority w:val="99"/>
    <w:semiHidden/>
    <w:unhideWhenUsed/>
    <w:rsid w:val="00770B2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70B2E"/>
    <w:rPr>
      <w:rFonts w:ascii="Calibri" w:eastAsia="Calibri" w:hAnsi="Calibri" w:cs="Times New Roman"/>
      <w:sz w:val="20"/>
      <w:szCs w:val="20"/>
    </w:rPr>
  </w:style>
  <w:style w:type="character" w:styleId="Rimandonotaapidipagina">
    <w:name w:val="footnote reference"/>
    <w:basedOn w:val="Carpredefinitoparagrafo"/>
    <w:uiPriority w:val="99"/>
    <w:semiHidden/>
    <w:unhideWhenUsed/>
    <w:rsid w:val="00770B2E"/>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top w:w="75" w:type="dxa"/>
        <w:left w:w="75" w:type="dxa"/>
        <w:bottom w:w="75" w:type="dxa"/>
        <w:right w:w="75"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5">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6">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table" w:customStyle="1" w:styleId="a7">
    <w:basedOn w:val="TableNormal0"/>
    <w:rPr>
      <w:rFonts w:ascii="Times New Roman" w:eastAsia="Times New Roman" w:hAnsi="Times New Roman" w:cs="Times New Roman"/>
      <w:sz w:val="20"/>
      <w:szCs w:val="20"/>
    </w:rPr>
    <w:tblPr>
      <w:tblStyleRowBandSize w:val="1"/>
      <w:tblStyleColBandSize w:val="1"/>
      <w:tblCellMar>
        <w:top w:w="75" w:type="dxa"/>
        <w:left w:w="75" w:type="dxa"/>
        <w:bottom w:w="75" w:type="dxa"/>
        <w:right w:w="75" w:type="dxa"/>
      </w:tblCellMar>
    </w:tblPr>
  </w:style>
  <w:style w:type="paragraph" w:styleId="Intestazione">
    <w:name w:val="header"/>
    <w:basedOn w:val="Normale"/>
    <w:link w:val="IntestazioneCarattere"/>
    <w:uiPriority w:val="99"/>
    <w:unhideWhenUsed/>
    <w:rsid w:val="002F0175"/>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F017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812775">
      <w:bodyDiv w:val="1"/>
      <w:marLeft w:val="0"/>
      <w:marRight w:val="0"/>
      <w:marTop w:val="0"/>
      <w:marBottom w:val="0"/>
      <w:divBdr>
        <w:top w:val="none" w:sz="0" w:space="0" w:color="auto"/>
        <w:left w:val="none" w:sz="0" w:space="0" w:color="auto"/>
        <w:bottom w:val="none" w:sz="0" w:space="0" w:color="auto"/>
        <w:right w:val="none" w:sz="0" w:space="0" w:color="auto"/>
      </w:divBdr>
    </w:div>
    <w:div w:id="1259100644">
      <w:bodyDiv w:val="1"/>
      <w:marLeft w:val="0"/>
      <w:marRight w:val="0"/>
      <w:marTop w:val="0"/>
      <w:marBottom w:val="0"/>
      <w:divBdr>
        <w:top w:val="none" w:sz="0" w:space="0" w:color="auto"/>
        <w:left w:val="none" w:sz="0" w:space="0" w:color="auto"/>
        <w:bottom w:val="none" w:sz="0" w:space="0" w:color="auto"/>
        <w:right w:val="none" w:sz="0" w:space="0" w:color="auto"/>
      </w:divBdr>
    </w:div>
    <w:div w:id="1453599490">
      <w:bodyDiv w:val="1"/>
      <w:marLeft w:val="0"/>
      <w:marRight w:val="0"/>
      <w:marTop w:val="0"/>
      <w:marBottom w:val="0"/>
      <w:divBdr>
        <w:top w:val="none" w:sz="0" w:space="0" w:color="auto"/>
        <w:left w:val="none" w:sz="0" w:space="0" w:color="auto"/>
        <w:bottom w:val="none" w:sz="0" w:space="0" w:color="auto"/>
        <w:right w:val="none" w:sz="0" w:space="0" w:color="auto"/>
      </w:divBdr>
    </w:div>
    <w:div w:id="1605334874">
      <w:bodyDiv w:val="1"/>
      <w:marLeft w:val="0"/>
      <w:marRight w:val="0"/>
      <w:marTop w:val="0"/>
      <w:marBottom w:val="0"/>
      <w:divBdr>
        <w:top w:val="none" w:sz="0" w:space="0" w:color="auto"/>
        <w:left w:val="none" w:sz="0" w:space="0" w:color="auto"/>
        <w:bottom w:val="none" w:sz="0" w:space="0" w:color="auto"/>
        <w:right w:val="none" w:sz="0" w:space="0" w:color="auto"/>
      </w:divBdr>
    </w:div>
    <w:div w:id="1752657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uFQFDU3zWPagnLjT2DIsFId5w==">CgMxLjAyCWguMzBqMHpsbDIIaC5namRneHM4AHIhMTh3UmoxN3pBdjNlT3hSa3pXWlNYekVUQUlBX3NNTVRK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929</Words>
  <Characters>5298</Characters>
  <Application>Microsoft Office Word</Application>
  <DocSecurity>0</DocSecurity>
  <Lines>44</Lines>
  <Paragraphs>12</Paragraphs>
  <ScaleCrop>false</ScaleCrop>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Abicca</dc:creator>
  <cp:lastModifiedBy>rosy.poerio</cp:lastModifiedBy>
  <cp:revision>13</cp:revision>
  <dcterms:created xsi:type="dcterms:W3CDTF">2023-11-03T12:24:00Z</dcterms:created>
  <dcterms:modified xsi:type="dcterms:W3CDTF">2025-03-25T10:56:00Z</dcterms:modified>
</cp:coreProperties>
</file>