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4B26" w:rsidRPr="00330A3D" w:rsidRDefault="00984B26" w:rsidP="00330A3D">
      <w:pPr>
        <w:spacing w:after="0" w:line="240" w:lineRule="auto"/>
        <w:rPr>
          <w:rFonts w:ascii="Titillium" w:eastAsia="Titilium" w:hAnsi="Titillium" w:cs="Titilium"/>
          <w:sz w:val="21"/>
          <w:szCs w:val="21"/>
        </w:rPr>
      </w:pPr>
    </w:p>
    <w:p w:rsidR="00B10B08" w:rsidRPr="00F84A9D" w:rsidRDefault="00F84A9D" w:rsidP="00330A3D">
      <w:pPr>
        <w:spacing w:after="0" w:line="240" w:lineRule="auto"/>
        <w:rPr>
          <w:rFonts w:ascii="Titillium" w:eastAsia="Titilium" w:hAnsi="Titillium" w:cs="Titilium"/>
          <w:b/>
          <w:sz w:val="24"/>
          <w:szCs w:val="24"/>
        </w:rPr>
      </w:pPr>
      <w:r w:rsidRPr="00F84A9D">
        <w:rPr>
          <w:rFonts w:ascii="Titillium" w:eastAsia="Titilium" w:hAnsi="Titillium" w:cs="Titilium"/>
          <w:b/>
          <w:sz w:val="24"/>
          <w:szCs w:val="24"/>
        </w:rPr>
        <w:t>DICHIARAZIONI INTEGRATIVE AL DGUE</w:t>
      </w:r>
    </w:p>
    <w:p w:rsidR="00F84A9D" w:rsidRPr="00330A3D" w:rsidRDefault="00F84A9D" w:rsidP="00330A3D">
      <w:pPr>
        <w:spacing w:after="0" w:line="240" w:lineRule="auto"/>
        <w:rPr>
          <w:rFonts w:ascii="Titillium" w:eastAsia="Titilium" w:hAnsi="Titillium" w:cs="Titilium"/>
          <w:b/>
          <w:sz w:val="21"/>
          <w:szCs w:val="21"/>
        </w:rPr>
      </w:pPr>
    </w:p>
    <w:p w:rsidR="00460EFD" w:rsidRPr="00460EFD" w:rsidRDefault="00460EFD" w:rsidP="00460EFD">
      <w:pPr>
        <w:spacing w:after="0" w:line="240" w:lineRule="auto"/>
        <w:jc w:val="both"/>
        <w:rPr>
          <w:rFonts w:ascii="Titillium" w:eastAsia="Titilium" w:hAnsi="Titillium" w:cs="Titilium"/>
          <w:b/>
          <w:sz w:val="21"/>
          <w:szCs w:val="21"/>
        </w:rPr>
      </w:pPr>
      <w:r w:rsidRPr="00460EFD">
        <w:rPr>
          <w:rFonts w:ascii="Titillium" w:eastAsia="Titilium" w:hAnsi="Titillium" w:cs="Titilium"/>
          <w:b/>
          <w:sz w:val="21"/>
          <w:szCs w:val="21"/>
        </w:rPr>
        <w:t xml:space="preserve">procedura di affidamento diretto per l’acquisizione del </w:t>
      </w:r>
      <w:r w:rsidRPr="00460EFD">
        <w:rPr>
          <w:rFonts w:ascii="Titillium" w:eastAsia="Titilium" w:hAnsi="Titillium" w:cs="Titilium"/>
          <w:b/>
          <w:bCs/>
          <w:sz w:val="21"/>
          <w:szCs w:val="21"/>
        </w:rPr>
        <w:t xml:space="preserve">Servizio di progettazione della sessione formativa per il progetto NG-Croce, 12-15 maggio 2025, </w:t>
      </w:r>
      <w:r w:rsidRPr="00460EFD">
        <w:rPr>
          <w:rFonts w:ascii="Titillium" w:eastAsia="Titilium" w:hAnsi="Titillium" w:cs="Titilium"/>
          <w:b/>
          <w:sz w:val="21"/>
          <w:szCs w:val="21"/>
        </w:rPr>
        <w:t>per le esigenze del Progetto  PNRR - IR0000026 NextGeneration Croce “NG-CROCE”, Codice Identificativo: IR0000026, Codice Unico di Progetto:  C53C22000880006, ammesso a finanziamento nell’ambito degli "</w:t>
      </w:r>
      <w:r w:rsidRPr="00460EFD">
        <w:rPr>
          <w:rFonts w:ascii="Titillium" w:eastAsia="Titilium" w:hAnsi="Titillium" w:cs="Titilium"/>
          <w:b/>
          <w:i/>
          <w:sz w:val="21"/>
          <w:szCs w:val="21"/>
        </w:rPr>
        <w:t>Interventi</w:t>
      </w:r>
      <w:r w:rsidRPr="00460EFD">
        <w:rPr>
          <w:rFonts w:ascii="Titillium" w:eastAsia="Titilium" w:hAnsi="Titillium" w:cs="Titilium"/>
          <w:b/>
          <w:sz w:val="21"/>
          <w:szCs w:val="21"/>
        </w:rPr>
        <w:t>" previsti dalla "</w:t>
      </w:r>
      <w:r w:rsidRPr="00460EFD">
        <w:rPr>
          <w:rFonts w:ascii="Titillium" w:eastAsia="Titilium" w:hAnsi="Titillium" w:cs="Titilium"/>
          <w:b/>
          <w:i/>
          <w:sz w:val="21"/>
          <w:szCs w:val="21"/>
        </w:rPr>
        <w:t>Missione 4</w:t>
      </w:r>
      <w:r w:rsidRPr="00460EFD">
        <w:rPr>
          <w:rFonts w:ascii="Titillium" w:eastAsia="Titilium" w:hAnsi="Titillium" w:cs="Titilium"/>
          <w:b/>
          <w:sz w:val="21"/>
          <w:szCs w:val="21"/>
        </w:rPr>
        <w:t>", denominata "</w:t>
      </w:r>
      <w:r w:rsidRPr="00460EFD">
        <w:rPr>
          <w:rFonts w:ascii="Titillium" w:eastAsia="Titilium" w:hAnsi="Titillium" w:cs="Titilium"/>
          <w:b/>
          <w:i/>
          <w:sz w:val="21"/>
          <w:szCs w:val="21"/>
        </w:rPr>
        <w:t>Istruzione e Ricerca</w:t>
      </w:r>
      <w:r w:rsidRPr="00460EFD">
        <w:rPr>
          <w:rFonts w:ascii="Titillium" w:eastAsia="Titilium" w:hAnsi="Titillium" w:cs="Titilium"/>
          <w:b/>
          <w:sz w:val="21"/>
          <w:szCs w:val="21"/>
        </w:rPr>
        <w:t>", "</w:t>
      </w:r>
      <w:r w:rsidRPr="00460EFD">
        <w:rPr>
          <w:rFonts w:ascii="Titillium" w:eastAsia="Titilium" w:hAnsi="Titillium" w:cs="Titilium"/>
          <w:b/>
          <w:i/>
          <w:sz w:val="21"/>
          <w:szCs w:val="21"/>
        </w:rPr>
        <w:t>Componente 2</w:t>
      </w:r>
      <w:r w:rsidRPr="00460EFD">
        <w:rPr>
          <w:rFonts w:ascii="Titillium" w:eastAsia="Titilium" w:hAnsi="Titillium" w:cs="Titilium"/>
          <w:b/>
          <w:sz w:val="21"/>
          <w:szCs w:val="21"/>
        </w:rPr>
        <w:t>", denominata "</w:t>
      </w:r>
      <w:r w:rsidRPr="00460EFD">
        <w:rPr>
          <w:rFonts w:ascii="Titillium" w:eastAsia="Titilium" w:hAnsi="Titillium" w:cs="Titilium"/>
          <w:b/>
          <w:i/>
          <w:sz w:val="21"/>
          <w:szCs w:val="21"/>
        </w:rPr>
        <w:t>Dalla Ricerca alla Impresa</w:t>
      </w:r>
      <w:r w:rsidRPr="00460EFD">
        <w:rPr>
          <w:rFonts w:ascii="Titillium" w:eastAsia="Titilium" w:hAnsi="Titillium" w:cs="Titilium"/>
          <w:b/>
          <w:sz w:val="21"/>
          <w:szCs w:val="21"/>
        </w:rPr>
        <w:t>" ("</w:t>
      </w:r>
      <w:r w:rsidRPr="00460EFD">
        <w:rPr>
          <w:rFonts w:ascii="Titillium" w:eastAsia="Titilium" w:hAnsi="Titillium" w:cs="Titilium"/>
          <w:b/>
          <w:i/>
          <w:sz w:val="21"/>
          <w:szCs w:val="21"/>
        </w:rPr>
        <w:t>M4C2</w:t>
      </w:r>
      <w:r w:rsidRPr="00460EFD">
        <w:rPr>
          <w:rFonts w:ascii="Titillium" w:eastAsia="Titilium" w:hAnsi="Titillium" w:cs="Titilium"/>
          <w:b/>
          <w:sz w:val="21"/>
          <w:szCs w:val="21"/>
        </w:rPr>
        <w:t xml:space="preserve">"), </w:t>
      </w:r>
      <w:r w:rsidRPr="00460EFD">
        <w:rPr>
          <w:rFonts w:ascii="Titillium" w:eastAsia="Titilium" w:hAnsi="Titillium" w:cs="Titilium"/>
          <w:b/>
          <w:i/>
          <w:sz w:val="21"/>
          <w:szCs w:val="21"/>
        </w:rPr>
        <w:t>Linea di Investimento 3.1", denominata "Rafforzamento e creazione di Infrastrutture di Ricerca", del "Piano Nazionale di Ripresa e Resilienza”</w:t>
      </w:r>
      <w:r w:rsidRPr="00460EFD">
        <w:rPr>
          <w:rFonts w:ascii="Titillium" w:eastAsia="Titilium" w:hAnsi="Titillium" w:cs="Titilium"/>
          <w:b/>
          <w:sz w:val="21"/>
          <w:szCs w:val="21"/>
        </w:rPr>
        <w:t>.</w:t>
      </w:r>
    </w:p>
    <w:p w:rsidR="00460EFD" w:rsidRPr="00460EFD" w:rsidRDefault="00460EFD" w:rsidP="00460EFD">
      <w:pPr>
        <w:spacing w:after="0" w:line="240" w:lineRule="auto"/>
        <w:jc w:val="both"/>
        <w:rPr>
          <w:rFonts w:ascii="Titillium" w:eastAsia="Titilium" w:hAnsi="Titillium" w:cs="Titilium"/>
          <w:b/>
          <w:bCs/>
          <w:sz w:val="21"/>
          <w:szCs w:val="21"/>
        </w:rPr>
      </w:pPr>
    </w:p>
    <w:p w:rsidR="00460EFD" w:rsidRPr="00460EFD" w:rsidRDefault="00460EFD" w:rsidP="00460EFD">
      <w:pPr>
        <w:spacing w:after="0" w:line="240" w:lineRule="auto"/>
        <w:jc w:val="both"/>
        <w:rPr>
          <w:rFonts w:ascii="Titillium" w:eastAsia="Titilium" w:hAnsi="Titillium" w:cs="Titilium"/>
          <w:b/>
          <w:sz w:val="21"/>
          <w:szCs w:val="21"/>
        </w:rPr>
      </w:pPr>
      <w:r w:rsidRPr="00460EFD">
        <w:rPr>
          <w:rFonts w:ascii="Titillium" w:eastAsia="Titilium" w:hAnsi="Titillium" w:cs="Titilium"/>
          <w:b/>
          <w:sz w:val="21"/>
          <w:szCs w:val="21"/>
        </w:rPr>
        <w:t>CUP: C53C22000880006</w:t>
      </w:r>
    </w:p>
    <w:p w:rsidR="00460EFD" w:rsidRPr="00460EFD" w:rsidRDefault="00460EFD" w:rsidP="00460EFD">
      <w:pPr>
        <w:spacing w:after="0" w:line="240" w:lineRule="auto"/>
        <w:jc w:val="both"/>
        <w:rPr>
          <w:rFonts w:ascii="Titillium" w:eastAsia="Titilium" w:hAnsi="Titillium" w:cs="Titilium"/>
          <w:b/>
          <w:bCs/>
          <w:sz w:val="21"/>
          <w:szCs w:val="21"/>
        </w:rPr>
      </w:pPr>
      <w:r w:rsidRPr="00460EFD">
        <w:rPr>
          <w:rFonts w:ascii="Titillium" w:eastAsia="Titilium" w:hAnsi="Titillium" w:cs="Titilium"/>
          <w:b/>
          <w:bCs/>
          <w:sz w:val="21"/>
          <w:szCs w:val="21"/>
        </w:rPr>
        <w:t>CPV: 79952000-2 - Servizi di organizzazione di eventi</w:t>
      </w:r>
    </w:p>
    <w:p w:rsidR="00B10B08" w:rsidRPr="00330A3D" w:rsidRDefault="00B10B08" w:rsidP="00330A3D">
      <w:pPr>
        <w:spacing w:after="0" w:line="240" w:lineRule="auto"/>
        <w:jc w:val="both"/>
        <w:rPr>
          <w:rFonts w:ascii="Titillium" w:eastAsia="Titilium" w:hAnsi="Titillium" w:cs="Titilium"/>
          <w:smallCaps/>
          <w:sz w:val="21"/>
          <w:szCs w:val="21"/>
        </w:rPr>
      </w:pPr>
      <w:bookmarkStart w:id="0" w:name="_GoBack"/>
      <w:bookmarkEnd w:id="0"/>
    </w:p>
    <w:tbl>
      <w:tblPr>
        <w:tblStyle w:val="ab"/>
        <w:tblW w:w="985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835"/>
        <w:gridCol w:w="6457"/>
      </w:tblGrid>
      <w:tr w:rsidR="00B10B08" w:rsidRPr="00330A3D">
        <w:trPr>
          <w:jc w:val="center"/>
        </w:trPr>
        <w:tc>
          <w:tcPr>
            <w:tcW w:w="3397" w:type="dxa"/>
            <w:gridSpan w:val="2"/>
          </w:tcPr>
          <w:p w:rsidR="00B10B08" w:rsidRPr="00330A3D" w:rsidRDefault="000D7D38" w:rsidP="00330A3D">
            <w:pPr>
              <w:tabs>
                <w:tab w:val="left" w:pos="-1800"/>
                <w:tab w:val="left" w:pos="1080"/>
                <w:tab w:val="left" w:pos="1800"/>
                <w:tab w:val="left" w:pos="6300"/>
              </w:tabs>
              <w:spacing w:before="40" w:after="40"/>
              <w:rPr>
                <w:rFonts w:ascii="Titillium" w:eastAsia="Titilium" w:hAnsi="Titillium" w:cs="Titilium"/>
                <w:sz w:val="21"/>
                <w:szCs w:val="21"/>
              </w:rPr>
            </w:pPr>
            <w:r w:rsidRPr="00330A3D">
              <w:rPr>
                <w:rFonts w:ascii="Titillium" w:eastAsia="Titilium" w:hAnsi="Titillium" w:cs="Titilium"/>
                <w:sz w:val="21"/>
                <w:szCs w:val="21"/>
              </w:rPr>
              <w:t>Il sottoscritto</w:t>
            </w:r>
          </w:p>
        </w:tc>
        <w:tc>
          <w:tcPr>
            <w:tcW w:w="6457" w:type="dxa"/>
          </w:tcPr>
          <w:p w:rsidR="00B10B08" w:rsidRPr="00330A3D" w:rsidRDefault="00B10B08" w:rsidP="00330A3D">
            <w:pPr>
              <w:tabs>
                <w:tab w:val="left" w:pos="-1800"/>
                <w:tab w:val="left" w:pos="1080"/>
                <w:tab w:val="left" w:pos="1800"/>
                <w:tab w:val="left" w:pos="6300"/>
              </w:tabs>
              <w:spacing w:before="40" w:after="40"/>
              <w:rPr>
                <w:rFonts w:ascii="Titillium" w:eastAsia="Titilium" w:hAnsi="Titillium" w:cs="Titilium"/>
                <w:sz w:val="21"/>
                <w:szCs w:val="21"/>
              </w:rPr>
            </w:pPr>
          </w:p>
        </w:tc>
      </w:tr>
      <w:tr w:rsidR="00B10B08" w:rsidRPr="00330A3D">
        <w:trPr>
          <w:jc w:val="center"/>
        </w:trPr>
        <w:tc>
          <w:tcPr>
            <w:tcW w:w="3397" w:type="dxa"/>
            <w:gridSpan w:val="2"/>
          </w:tcPr>
          <w:p w:rsidR="00B10B08" w:rsidRPr="00330A3D" w:rsidRDefault="000D7D38" w:rsidP="00330A3D">
            <w:pPr>
              <w:tabs>
                <w:tab w:val="left" w:pos="-1800"/>
                <w:tab w:val="left" w:pos="1080"/>
                <w:tab w:val="left" w:pos="1800"/>
                <w:tab w:val="left" w:pos="6300"/>
              </w:tabs>
              <w:spacing w:before="40" w:after="40"/>
              <w:rPr>
                <w:rFonts w:ascii="Titillium" w:eastAsia="Titilium" w:hAnsi="Titillium" w:cs="Titilium"/>
                <w:sz w:val="21"/>
                <w:szCs w:val="21"/>
              </w:rPr>
            </w:pPr>
            <w:r w:rsidRPr="00330A3D">
              <w:rPr>
                <w:rFonts w:ascii="Titillium" w:eastAsia="Titilium" w:hAnsi="Titillium" w:cs="Titilium"/>
                <w:sz w:val="21"/>
                <w:szCs w:val="21"/>
              </w:rPr>
              <w:t>Codice fiscale</w:t>
            </w:r>
          </w:p>
        </w:tc>
        <w:tc>
          <w:tcPr>
            <w:tcW w:w="6457" w:type="dxa"/>
          </w:tcPr>
          <w:p w:rsidR="00B10B08" w:rsidRPr="00330A3D" w:rsidRDefault="00B10B08" w:rsidP="00330A3D">
            <w:pPr>
              <w:tabs>
                <w:tab w:val="left" w:pos="-1800"/>
                <w:tab w:val="left" w:pos="1080"/>
                <w:tab w:val="left" w:pos="1800"/>
                <w:tab w:val="left" w:pos="6300"/>
              </w:tabs>
              <w:spacing w:before="40" w:after="40"/>
              <w:rPr>
                <w:rFonts w:ascii="Titillium" w:eastAsia="Titilium" w:hAnsi="Titillium" w:cs="Titilium"/>
                <w:sz w:val="21"/>
                <w:szCs w:val="21"/>
              </w:rPr>
            </w:pPr>
          </w:p>
        </w:tc>
      </w:tr>
      <w:tr w:rsidR="00B10B08" w:rsidRPr="00330A3D">
        <w:trPr>
          <w:jc w:val="center"/>
        </w:trPr>
        <w:tc>
          <w:tcPr>
            <w:tcW w:w="9854" w:type="dxa"/>
            <w:gridSpan w:val="3"/>
          </w:tcPr>
          <w:p w:rsidR="00B10B08" w:rsidRPr="00330A3D" w:rsidRDefault="000D7D38" w:rsidP="00330A3D">
            <w:pPr>
              <w:tabs>
                <w:tab w:val="left" w:pos="-1800"/>
                <w:tab w:val="left" w:pos="1080"/>
                <w:tab w:val="left" w:pos="1800"/>
                <w:tab w:val="left" w:pos="6300"/>
              </w:tabs>
              <w:spacing w:before="40" w:after="40"/>
              <w:rPr>
                <w:rFonts w:ascii="Titillium" w:eastAsia="Titilium" w:hAnsi="Titillium" w:cs="Titilium"/>
                <w:sz w:val="21"/>
                <w:szCs w:val="21"/>
              </w:rPr>
            </w:pPr>
            <w:r w:rsidRPr="00330A3D">
              <w:rPr>
                <w:rFonts w:ascii="Titillium" w:eastAsia="Titilium" w:hAnsi="Titillium" w:cs="Titilium"/>
                <w:sz w:val="21"/>
                <w:szCs w:val="21"/>
              </w:rPr>
              <w:t>Nella sua qualità di:</w:t>
            </w:r>
          </w:p>
        </w:tc>
      </w:tr>
      <w:tr w:rsidR="00B10B08" w:rsidRPr="00330A3D">
        <w:trPr>
          <w:jc w:val="center"/>
        </w:trPr>
        <w:tc>
          <w:tcPr>
            <w:tcW w:w="562" w:type="dxa"/>
          </w:tcPr>
          <w:p w:rsidR="00B10B08" w:rsidRPr="00330A3D" w:rsidRDefault="000D7D38" w:rsidP="00330A3D">
            <w:pPr>
              <w:tabs>
                <w:tab w:val="left" w:pos="-1800"/>
                <w:tab w:val="left" w:pos="1080"/>
                <w:tab w:val="left" w:pos="1800"/>
                <w:tab w:val="left" w:pos="6300"/>
              </w:tabs>
              <w:jc w:val="center"/>
              <w:rPr>
                <w:rFonts w:ascii="Titillium" w:eastAsia="Titilium" w:hAnsi="Titillium" w:cs="Titilium"/>
                <w:sz w:val="21"/>
                <w:szCs w:val="21"/>
              </w:rPr>
            </w:pPr>
            <w:r w:rsidRPr="00330A3D">
              <w:rPr>
                <w:rFonts w:ascii="Courier New" w:hAnsi="Courier New" w:cs="Courier New"/>
                <w:sz w:val="21"/>
                <w:szCs w:val="21"/>
              </w:rPr>
              <w:t>□</w:t>
            </w:r>
          </w:p>
        </w:tc>
        <w:tc>
          <w:tcPr>
            <w:tcW w:w="9292" w:type="dxa"/>
            <w:gridSpan w:val="2"/>
            <w:vAlign w:val="center"/>
          </w:tcPr>
          <w:p w:rsidR="00B10B08" w:rsidRPr="00330A3D" w:rsidRDefault="000D7D38" w:rsidP="00330A3D">
            <w:pPr>
              <w:tabs>
                <w:tab w:val="left" w:pos="-1800"/>
                <w:tab w:val="left" w:pos="1080"/>
                <w:tab w:val="left" w:pos="1800"/>
                <w:tab w:val="left" w:pos="6300"/>
              </w:tabs>
              <w:spacing w:before="40" w:after="40"/>
              <w:rPr>
                <w:rFonts w:ascii="Titillium" w:eastAsia="Titilium" w:hAnsi="Titillium" w:cs="Titilium"/>
                <w:sz w:val="21"/>
                <w:szCs w:val="21"/>
              </w:rPr>
            </w:pPr>
            <w:r w:rsidRPr="00330A3D">
              <w:rPr>
                <w:rFonts w:ascii="Titillium" w:eastAsia="Titilium" w:hAnsi="Titillium" w:cs="Titilium"/>
                <w:sz w:val="21"/>
                <w:szCs w:val="21"/>
              </w:rPr>
              <w:t>Titolare o Legale rappresentante</w:t>
            </w:r>
          </w:p>
        </w:tc>
      </w:tr>
      <w:tr w:rsidR="00B10B08" w:rsidRPr="00330A3D">
        <w:trPr>
          <w:jc w:val="center"/>
        </w:trPr>
        <w:tc>
          <w:tcPr>
            <w:tcW w:w="562" w:type="dxa"/>
          </w:tcPr>
          <w:p w:rsidR="00B10B08" w:rsidRPr="00330A3D" w:rsidRDefault="000D7D38" w:rsidP="00330A3D">
            <w:pPr>
              <w:tabs>
                <w:tab w:val="left" w:pos="-1800"/>
                <w:tab w:val="left" w:pos="1080"/>
                <w:tab w:val="left" w:pos="1800"/>
                <w:tab w:val="left" w:pos="6300"/>
              </w:tabs>
              <w:jc w:val="center"/>
              <w:rPr>
                <w:rFonts w:ascii="Titillium" w:eastAsia="Titilium" w:hAnsi="Titillium" w:cs="Titilium"/>
                <w:sz w:val="21"/>
                <w:szCs w:val="21"/>
              </w:rPr>
            </w:pPr>
            <w:r w:rsidRPr="00330A3D">
              <w:rPr>
                <w:rFonts w:ascii="Courier New" w:hAnsi="Courier New" w:cs="Courier New"/>
                <w:sz w:val="21"/>
                <w:szCs w:val="21"/>
              </w:rPr>
              <w:t>□</w:t>
            </w:r>
          </w:p>
        </w:tc>
        <w:tc>
          <w:tcPr>
            <w:tcW w:w="9292" w:type="dxa"/>
            <w:gridSpan w:val="2"/>
            <w:vAlign w:val="center"/>
          </w:tcPr>
          <w:p w:rsidR="00B10B08" w:rsidRPr="00330A3D" w:rsidRDefault="000D7D38" w:rsidP="00330A3D">
            <w:pPr>
              <w:tabs>
                <w:tab w:val="left" w:pos="-1800"/>
                <w:tab w:val="left" w:pos="1080"/>
                <w:tab w:val="left" w:pos="1800"/>
                <w:tab w:val="left" w:pos="6300"/>
              </w:tabs>
              <w:spacing w:before="40" w:after="40"/>
              <w:rPr>
                <w:rFonts w:ascii="Titillium" w:eastAsia="Titilium" w:hAnsi="Titillium" w:cs="Titilium"/>
                <w:sz w:val="21"/>
                <w:szCs w:val="21"/>
              </w:rPr>
            </w:pPr>
            <w:r w:rsidRPr="00330A3D">
              <w:rPr>
                <w:rFonts w:ascii="Titillium" w:eastAsia="Titilium" w:hAnsi="Titillium" w:cs="Titilium"/>
                <w:sz w:val="21"/>
                <w:szCs w:val="21"/>
              </w:rPr>
              <w:t>Procuratore</w:t>
            </w:r>
          </w:p>
        </w:tc>
      </w:tr>
      <w:tr w:rsidR="00B10B08" w:rsidRPr="00330A3D">
        <w:trPr>
          <w:jc w:val="center"/>
        </w:trPr>
        <w:tc>
          <w:tcPr>
            <w:tcW w:w="3397" w:type="dxa"/>
            <w:gridSpan w:val="2"/>
          </w:tcPr>
          <w:p w:rsidR="00B10B08" w:rsidRPr="00330A3D" w:rsidRDefault="000D7D38" w:rsidP="00330A3D">
            <w:pPr>
              <w:tabs>
                <w:tab w:val="left" w:pos="-1800"/>
                <w:tab w:val="left" w:pos="1080"/>
                <w:tab w:val="left" w:pos="1800"/>
                <w:tab w:val="left" w:pos="6300"/>
              </w:tabs>
              <w:spacing w:before="40" w:after="40"/>
              <w:rPr>
                <w:rFonts w:ascii="Titillium" w:eastAsia="Titilium" w:hAnsi="Titillium" w:cs="Titilium"/>
                <w:sz w:val="21"/>
                <w:szCs w:val="21"/>
              </w:rPr>
            </w:pPr>
            <w:r w:rsidRPr="00330A3D">
              <w:rPr>
                <w:rFonts w:ascii="Titillium" w:eastAsia="Titilium" w:hAnsi="Titillium" w:cs="Titilium"/>
                <w:sz w:val="21"/>
                <w:szCs w:val="21"/>
              </w:rPr>
              <w:t>Del concorrente</w:t>
            </w:r>
          </w:p>
        </w:tc>
        <w:tc>
          <w:tcPr>
            <w:tcW w:w="6457" w:type="dxa"/>
          </w:tcPr>
          <w:p w:rsidR="00B10B08" w:rsidRPr="00330A3D" w:rsidRDefault="00B10B08" w:rsidP="00330A3D">
            <w:pPr>
              <w:tabs>
                <w:tab w:val="left" w:pos="-1800"/>
                <w:tab w:val="left" w:pos="1080"/>
                <w:tab w:val="left" w:pos="1800"/>
                <w:tab w:val="left" w:pos="6300"/>
              </w:tabs>
              <w:spacing w:before="40" w:after="40"/>
              <w:rPr>
                <w:rFonts w:ascii="Titillium" w:eastAsia="Titilium" w:hAnsi="Titillium" w:cs="Titilium"/>
                <w:sz w:val="21"/>
                <w:szCs w:val="21"/>
              </w:rPr>
            </w:pPr>
          </w:p>
        </w:tc>
      </w:tr>
    </w:tbl>
    <w:p w:rsidR="00B10B08" w:rsidRPr="00330A3D" w:rsidRDefault="00B10B08" w:rsidP="00330A3D">
      <w:pPr>
        <w:spacing w:after="0" w:line="240" w:lineRule="auto"/>
        <w:jc w:val="both"/>
        <w:rPr>
          <w:rFonts w:ascii="Titillium" w:eastAsia="Titilium" w:hAnsi="Titillium" w:cs="Titilium"/>
          <w:smallCaps/>
          <w:sz w:val="21"/>
          <w:szCs w:val="21"/>
        </w:rPr>
      </w:pPr>
    </w:p>
    <w:p w:rsidR="00B10B08" w:rsidRPr="00330A3D" w:rsidRDefault="000D7D38" w:rsidP="00330A3D">
      <w:pPr>
        <w:widowControl w:val="0"/>
        <w:spacing w:after="0" w:line="240" w:lineRule="auto"/>
        <w:jc w:val="both"/>
        <w:rPr>
          <w:rFonts w:ascii="Titillium" w:eastAsia="Titilium" w:hAnsi="Titillium" w:cs="Titilium"/>
          <w:sz w:val="21"/>
          <w:szCs w:val="21"/>
        </w:rPr>
      </w:pPr>
      <w:r w:rsidRPr="00330A3D">
        <w:rPr>
          <w:rFonts w:ascii="Titillium" w:eastAsia="Titilium" w:hAnsi="Titillium" w:cs="Titilium"/>
          <w:sz w:val="21"/>
          <w:szCs w:val="21"/>
        </w:rPr>
        <w:t>ai sensi e per gli effetti dell’art. 76 del D.P.R. n.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il concorrente decadrà dai benefici per i quali la stessa è rilasciata</w:t>
      </w:r>
    </w:p>
    <w:p w:rsidR="00B10B08" w:rsidRPr="00330A3D" w:rsidRDefault="00B10B08" w:rsidP="00330A3D">
      <w:pPr>
        <w:widowControl w:val="0"/>
        <w:spacing w:after="0" w:line="240" w:lineRule="auto"/>
        <w:jc w:val="center"/>
        <w:rPr>
          <w:rFonts w:ascii="Titillium" w:eastAsia="Titilium" w:hAnsi="Titillium" w:cs="Titilium"/>
          <w:sz w:val="21"/>
          <w:szCs w:val="21"/>
        </w:rPr>
      </w:pPr>
    </w:p>
    <w:p w:rsidR="00B10B08" w:rsidRPr="00330A3D" w:rsidRDefault="000D7D38" w:rsidP="00330A3D">
      <w:pPr>
        <w:widowControl w:val="0"/>
        <w:spacing w:after="0" w:line="240" w:lineRule="auto"/>
        <w:jc w:val="center"/>
        <w:rPr>
          <w:rFonts w:ascii="Titillium" w:eastAsia="Titilium" w:hAnsi="Titillium" w:cs="Titilium"/>
          <w:sz w:val="21"/>
          <w:szCs w:val="21"/>
        </w:rPr>
      </w:pPr>
      <w:r w:rsidRPr="00330A3D">
        <w:rPr>
          <w:rFonts w:ascii="Titillium" w:eastAsia="Titilium" w:hAnsi="Titillium" w:cs="Titilium"/>
          <w:sz w:val="21"/>
          <w:szCs w:val="21"/>
        </w:rPr>
        <w:t>DICHIARA</w:t>
      </w:r>
    </w:p>
    <w:p w:rsidR="00B10B08" w:rsidRPr="00330A3D" w:rsidRDefault="00B10B08" w:rsidP="00330A3D">
      <w:pPr>
        <w:spacing w:after="0" w:line="240" w:lineRule="auto"/>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 xml:space="preserve">I dati identificativi (nome, cognome, data e luogo di nascita, codice fiscale, comune di residenza) </w:t>
      </w:r>
      <w:r w:rsidRPr="00330A3D">
        <w:rPr>
          <w:rFonts w:ascii="Titillium" w:eastAsia="Titilium" w:hAnsi="Titillium" w:cs="Titilium"/>
          <w:sz w:val="21"/>
          <w:szCs w:val="21"/>
          <w:highlight w:val="white"/>
        </w:rPr>
        <w:t>dei soggetti di cui all’art. 94, comma 3, del Decreto Legislativo 31 marzo 2023, numero 36</w:t>
      </w:r>
      <w:r w:rsidRPr="00330A3D">
        <w:rPr>
          <w:rFonts w:ascii="Titillium" w:eastAsia="Titilium" w:hAnsi="Titillium" w:cs="Titilium"/>
          <w:sz w:val="21"/>
          <w:szCs w:val="21"/>
        </w:rPr>
        <w:t>,, se non già individuati nella parte II lett. B del DGUE, ovvero indica la banca dati ufficiale o il pubblico registro da cui i medesimi possono essere ricavati in modo aggiornato alla data di presentazione dell’offerta (devono essere indicati i dati identificativi dei  seguenti soggetti, anche cessati dalla carica nell’anno antecedente la data di pubblicazione del bando di gara: titolare o  direttore tecnico, se si tratta di impresa individuale; socio o del direttore tecnico, se si tratta di società in nome collettivo; soci accomandatari o  direttore tecnico, se si tratta di società in accomandita semplice; membri del consiglio di amministrazione cui sia stata conferita la legale rappresentanza, ivi compresi institori e procuratori generali, i membri degli organi con poteri di direzione o di vigilanza o i soggetti muniti di poteri di rappresentanza, di direzione o di controllo, il direttore tecnico o  socio unico persona fisica, ovvero  socio di maggioranza in caso di società con meno di quattro soci, se si tratta di altro tipo di società o consorzio)</w:t>
      </w:r>
    </w:p>
    <w:p w:rsidR="00B10B08" w:rsidRPr="00330A3D" w:rsidRDefault="00B10B08" w:rsidP="00330A3D">
      <w:pPr>
        <w:spacing w:after="0" w:line="240" w:lineRule="auto"/>
        <w:ind w:left="454"/>
        <w:jc w:val="both"/>
        <w:rPr>
          <w:rFonts w:ascii="Titillium" w:eastAsia="Titilium" w:hAnsi="Titillium" w:cs="Titilium"/>
          <w:sz w:val="21"/>
          <w:szCs w:val="21"/>
        </w:rPr>
      </w:pPr>
    </w:p>
    <w:tbl>
      <w:tblPr>
        <w:tblStyle w:val="ac"/>
        <w:tblW w:w="9399" w:type="dxa"/>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38"/>
        <w:gridCol w:w="1091"/>
        <w:gridCol w:w="1665"/>
        <w:gridCol w:w="1478"/>
        <w:gridCol w:w="1898"/>
        <w:gridCol w:w="1629"/>
      </w:tblGrid>
      <w:tr w:rsidR="00B10B08" w:rsidRPr="00330A3D">
        <w:tc>
          <w:tcPr>
            <w:tcW w:w="1638" w:type="dxa"/>
            <w:vAlign w:val="center"/>
          </w:tcPr>
          <w:p w:rsidR="00B10B08" w:rsidRPr="00330A3D" w:rsidRDefault="000D7D38" w:rsidP="00330A3D">
            <w:pPr>
              <w:jc w:val="center"/>
              <w:rPr>
                <w:rFonts w:ascii="Titillium" w:eastAsia="Titilium" w:hAnsi="Titillium" w:cs="Titilium"/>
                <w:sz w:val="21"/>
                <w:szCs w:val="21"/>
              </w:rPr>
            </w:pPr>
            <w:r w:rsidRPr="00330A3D">
              <w:rPr>
                <w:rFonts w:ascii="Titillium" w:eastAsia="Titilium" w:hAnsi="Titillium" w:cs="Titilium"/>
                <w:sz w:val="21"/>
                <w:szCs w:val="21"/>
              </w:rPr>
              <w:lastRenderedPageBreak/>
              <w:t>Cognome e Nome</w:t>
            </w:r>
          </w:p>
        </w:tc>
        <w:tc>
          <w:tcPr>
            <w:tcW w:w="1091" w:type="dxa"/>
            <w:vAlign w:val="center"/>
          </w:tcPr>
          <w:p w:rsidR="00B10B08" w:rsidRPr="00330A3D" w:rsidRDefault="000D7D38" w:rsidP="00330A3D">
            <w:pPr>
              <w:jc w:val="center"/>
              <w:rPr>
                <w:rFonts w:ascii="Titillium" w:eastAsia="Titilium" w:hAnsi="Titillium" w:cs="Titilium"/>
                <w:sz w:val="21"/>
                <w:szCs w:val="21"/>
              </w:rPr>
            </w:pPr>
            <w:r w:rsidRPr="00330A3D">
              <w:rPr>
                <w:rFonts w:ascii="Titillium" w:eastAsia="Titilium" w:hAnsi="Titillium" w:cs="Titilium"/>
                <w:sz w:val="21"/>
                <w:szCs w:val="21"/>
              </w:rPr>
              <w:t>Data di nascita</w:t>
            </w:r>
          </w:p>
        </w:tc>
        <w:tc>
          <w:tcPr>
            <w:tcW w:w="1665" w:type="dxa"/>
            <w:vAlign w:val="center"/>
          </w:tcPr>
          <w:p w:rsidR="00B10B08" w:rsidRPr="00330A3D" w:rsidRDefault="000D7D38" w:rsidP="00330A3D">
            <w:pPr>
              <w:jc w:val="center"/>
              <w:rPr>
                <w:rFonts w:ascii="Titillium" w:eastAsia="Titilium" w:hAnsi="Titillium" w:cs="Titilium"/>
                <w:sz w:val="21"/>
                <w:szCs w:val="21"/>
              </w:rPr>
            </w:pPr>
            <w:r w:rsidRPr="00330A3D">
              <w:rPr>
                <w:rFonts w:ascii="Titillium" w:eastAsia="Titilium" w:hAnsi="Titillium" w:cs="Titilium"/>
                <w:sz w:val="21"/>
                <w:szCs w:val="21"/>
              </w:rPr>
              <w:t>Luogo / Stato estero di nascita</w:t>
            </w:r>
          </w:p>
        </w:tc>
        <w:tc>
          <w:tcPr>
            <w:tcW w:w="1478" w:type="dxa"/>
            <w:vAlign w:val="center"/>
          </w:tcPr>
          <w:p w:rsidR="00B10B08" w:rsidRPr="00330A3D" w:rsidRDefault="000D7D38" w:rsidP="00330A3D">
            <w:pPr>
              <w:jc w:val="center"/>
              <w:rPr>
                <w:rFonts w:ascii="Titillium" w:eastAsia="Titilium" w:hAnsi="Titillium" w:cs="Titilium"/>
                <w:sz w:val="21"/>
                <w:szCs w:val="21"/>
              </w:rPr>
            </w:pPr>
            <w:r w:rsidRPr="00330A3D">
              <w:rPr>
                <w:rFonts w:ascii="Titillium" w:eastAsia="Titilium" w:hAnsi="Titillium" w:cs="Titilium"/>
                <w:sz w:val="21"/>
                <w:szCs w:val="21"/>
              </w:rPr>
              <w:t>Codice Fiscale</w:t>
            </w:r>
          </w:p>
        </w:tc>
        <w:tc>
          <w:tcPr>
            <w:tcW w:w="1898" w:type="dxa"/>
            <w:vAlign w:val="center"/>
          </w:tcPr>
          <w:p w:rsidR="00B10B08" w:rsidRPr="00330A3D" w:rsidRDefault="000D7D38" w:rsidP="00330A3D">
            <w:pPr>
              <w:jc w:val="center"/>
              <w:rPr>
                <w:rFonts w:ascii="Titillium" w:eastAsia="Titilium" w:hAnsi="Titillium" w:cs="Titilium"/>
                <w:sz w:val="21"/>
                <w:szCs w:val="21"/>
              </w:rPr>
            </w:pPr>
            <w:r w:rsidRPr="00330A3D">
              <w:rPr>
                <w:rFonts w:ascii="Titillium" w:eastAsia="Titilium" w:hAnsi="Titillium" w:cs="Titilium"/>
                <w:sz w:val="21"/>
                <w:szCs w:val="21"/>
              </w:rPr>
              <w:t>Qualifica (titolare, legale rappresentante, procuratore, socio, …)</w:t>
            </w:r>
          </w:p>
        </w:tc>
        <w:tc>
          <w:tcPr>
            <w:tcW w:w="1629" w:type="dxa"/>
            <w:vAlign w:val="center"/>
          </w:tcPr>
          <w:p w:rsidR="00B10B08" w:rsidRPr="00330A3D" w:rsidRDefault="000D7D38" w:rsidP="00330A3D">
            <w:pPr>
              <w:jc w:val="center"/>
              <w:rPr>
                <w:rFonts w:ascii="Titillium" w:eastAsia="Titilium" w:hAnsi="Titillium" w:cs="Titilium"/>
                <w:sz w:val="21"/>
                <w:szCs w:val="21"/>
              </w:rPr>
            </w:pPr>
            <w:r w:rsidRPr="00330A3D">
              <w:rPr>
                <w:rFonts w:ascii="Titillium" w:eastAsia="Titilium" w:hAnsi="Titillium" w:cs="Titilium"/>
                <w:sz w:val="21"/>
                <w:szCs w:val="21"/>
              </w:rPr>
              <w:t>Data in cui è cessato dalla carica</w:t>
            </w: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r w:rsidR="00B10B08" w:rsidRPr="00330A3D">
        <w:tc>
          <w:tcPr>
            <w:tcW w:w="1638" w:type="dxa"/>
          </w:tcPr>
          <w:p w:rsidR="00B10B08" w:rsidRPr="00330A3D" w:rsidRDefault="00B10B08" w:rsidP="00330A3D">
            <w:pPr>
              <w:rPr>
                <w:rFonts w:ascii="Titillium" w:eastAsia="Titilium" w:hAnsi="Titillium" w:cs="Titilium"/>
                <w:sz w:val="21"/>
                <w:szCs w:val="21"/>
              </w:rPr>
            </w:pPr>
          </w:p>
        </w:tc>
        <w:tc>
          <w:tcPr>
            <w:tcW w:w="1091" w:type="dxa"/>
          </w:tcPr>
          <w:p w:rsidR="00B10B08" w:rsidRPr="00330A3D" w:rsidRDefault="00B10B08" w:rsidP="00330A3D">
            <w:pPr>
              <w:rPr>
                <w:rFonts w:ascii="Titillium" w:eastAsia="Titilium" w:hAnsi="Titillium" w:cs="Titilium"/>
                <w:sz w:val="21"/>
                <w:szCs w:val="21"/>
              </w:rPr>
            </w:pPr>
          </w:p>
        </w:tc>
        <w:tc>
          <w:tcPr>
            <w:tcW w:w="1665" w:type="dxa"/>
          </w:tcPr>
          <w:p w:rsidR="00B10B08" w:rsidRPr="00330A3D" w:rsidRDefault="00B10B08" w:rsidP="00330A3D">
            <w:pPr>
              <w:rPr>
                <w:rFonts w:ascii="Titillium" w:eastAsia="Titilium" w:hAnsi="Titillium" w:cs="Titilium"/>
                <w:sz w:val="21"/>
                <w:szCs w:val="21"/>
              </w:rPr>
            </w:pPr>
          </w:p>
        </w:tc>
        <w:tc>
          <w:tcPr>
            <w:tcW w:w="1478" w:type="dxa"/>
          </w:tcPr>
          <w:p w:rsidR="00B10B08" w:rsidRPr="00330A3D" w:rsidRDefault="00B10B08" w:rsidP="00330A3D">
            <w:pPr>
              <w:rPr>
                <w:rFonts w:ascii="Titillium" w:eastAsia="Titilium" w:hAnsi="Titillium" w:cs="Titilium"/>
                <w:sz w:val="21"/>
                <w:szCs w:val="21"/>
              </w:rPr>
            </w:pPr>
          </w:p>
        </w:tc>
        <w:tc>
          <w:tcPr>
            <w:tcW w:w="1898" w:type="dxa"/>
          </w:tcPr>
          <w:p w:rsidR="00B10B08" w:rsidRPr="00330A3D" w:rsidRDefault="00B10B08" w:rsidP="00330A3D">
            <w:pPr>
              <w:rPr>
                <w:rFonts w:ascii="Titillium" w:eastAsia="Titilium" w:hAnsi="Titillium" w:cs="Titilium"/>
                <w:sz w:val="21"/>
                <w:szCs w:val="21"/>
              </w:rPr>
            </w:pPr>
          </w:p>
        </w:tc>
        <w:tc>
          <w:tcPr>
            <w:tcW w:w="1629" w:type="dxa"/>
          </w:tcPr>
          <w:p w:rsidR="00B10B08" w:rsidRPr="00330A3D" w:rsidRDefault="00B10B08" w:rsidP="00330A3D">
            <w:pPr>
              <w:rPr>
                <w:rFonts w:ascii="Titillium" w:eastAsia="Titilium" w:hAnsi="Titillium" w:cs="Titilium"/>
                <w:sz w:val="21"/>
                <w:szCs w:val="21"/>
              </w:rPr>
            </w:pPr>
          </w:p>
        </w:tc>
      </w:tr>
    </w:tbl>
    <w:p w:rsidR="00B10B08" w:rsidRPr="00330A3D" w:rsidRDefault="00B10B08" w:rsidP="00330A3D">
      <w:pPr>
        <w:spacing w:after="0" w:line="240" w:lineRule="auto"/>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 xml:space="preserve">Di non incorrere nelle cause di esclusione previste dal </w:t>
      </w:r>
      <w:r w:rsidRPr="00330A3D">
        <w:rPr>
          <w:rFonts w:ascii="Titillium" w:eastAsia="Titilium" w:hAnsi="Titillium" w:cs="Titilium"/>
          <w:b/>
          <w:sz w:val="21"/>
          <w:szCs w:val="21"/>
          <w:highlight w:val="white"/>
        </w:rPr>
        <w:t>Decreto legislativo 31 marzo 2023, n. 36 “</w:t>
      </w:r>
      <w:r w:rsidRPr="00330A3D">
        <w:rPr>
          <w:rFonts w:ascii="Titillium" w:eastAsia="Titilium" w:hAnsi="Titillium" w:cs="Titilium"/>
          <w:sz w:val="21"/>
          <w:szCs w:val="21"/>
          <w:highlight w:val="white"/>
        </w:rPr>
        <w:t>Codice dei contratti pubblici”</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spacing w:after="0" w:line="240" w:lineRule="auto"/>
        <w:ind w:left="454"/>
        <w:jc w:val="both"/>
        <w:rPr>
          <w:rFonts w:ascii="Titillium" w:eastAsia="Titilium" w:hAnsi="Titillium" w:cs="Titilium"/>
          <w:sz w:val="21"/>
          <w:szCs w:val="21"/>
        </w:rPr>
      </w:pPr>
      <w:r w:rsidRPr="00330A3D">
        <w:rPr>
          <w:rFonts w:ascii="Titillium" w:eastAsia="Titilium" w:hAnsi="Titillium" w:cs="Titilium"/>
          <w:sz w:val="21"/>
          <w:szCs w:val="21"/>
        </w:rPr>
        <w:t>(_) ovvero che il concorrente si è reso colpevole delle fattispecie che di seguito si elencano …;</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Per conto proprio e in nome e per conto dei soggetti individuati al precedente punto A, conformemente alle disposizioni del Codice dei contratti pubblici, ai sensi della vigente normativa antimafia, l’insussistenza delle cause di decadenza, di sospensione o di divieto previste dall’art. 67 del D. Lgs. n. 159/2011 e s.m.i. o di un tentativo di infiltrazione mafiosa di cui all'art. 84, comma 4, del medesimo decreto;</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Di non partecipare alla medesima gara in altra forma singola o associata, né come ausiliaria per altro concorrente;</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Che la partecipazione alla presente procedura non determina alcuna situazione di conflitto di interesse, anche potenziale, ai sensi della vigente normativa in materia, tale da ledere l’imparzialità e l’immagine nell’agire della Stazione appaltante e si impegna a comunicare la sussistenza di potenziali conflitti di interesse rispetto ai soggetti che intervengono e interverranno nella procedura di gara - mediante consultazione del profilo del committente - e a fornire gli elementi utili a consentire la valutazione della stazione appaltante;</w:t>
      </w:r>
    </w:p>
    <w:p w:rsidR="00B10B08" w:rsidRPr="00330A3D" w:rsidRDefault="00B10B08" w:rsidP="00330A3D">
      <w:pPr>
        <w:spacing w:after="0" w:line="240" w:lineRule="auto"/>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Di accettare, senza condizione o riserva alcuna, tutte le norme e disposizioni contenute nella documentazione di gara[, inclusi i criteri ambientali minimi di cui al DM]</w:t>
      </w:r>
      <w:r w:rsidRPr="00330A3D">
        <w:rPr>
          <w:rFonts w:ascii="Titillium" w:eastAsia="Titilium" w:hAnsi="Titillium" w:cs="Titilium"/>
          <w:sz w:val="21"/>
          <w:szCs w:val="21"/>
          <w:vertAlign w:val="superscript"/>
        </w:rPr>
        <w:footnoteReference w:id="1"/>
      </w:r>
      <w:r w:rsidRPr="00330A3D">
        <w:rPr>
          <w:rFonts w:ascii="Titillium" w:eastAsia="Titilium" w:hAnsi="Titillium" w:cs="Titilium"/>
          <w:sz w:val="21"/>
          <w:szCs w:val="21"/>
        </w:rPr>
        <w:t>;</w:t>
      </w:r>
    </w:p>
    <w:p w:rsidR="00B10B08" w:rsidRPr="00330A3D" w:rsidRDefault="00B10B08" w:rsidP="00330A3D">
      <w:pPr>
        <w:spacing w:after="0" w:line="240" w:lineRule="auto"/>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 xml:space="preserve">Di accettare espressamente che la Stazione Appaltante si riserva la facoltà di differire la stipula del contratto, entro i termini previsti dalla vigente normativa, a partire dalla data di aggiudicazione. La Stazione Appaltante si riserva di revocare la procedura ai sensi della legge 241/1990, art. 21-quinquies, per ragioni di </w:t>
      </w:r>
      <w:r w:rsidRPr="00330A3D">
        <w:rPr>
          <w:rFonts w:ascii="Titillium" w:eastAsia="Titilium" w:hAnsi="Titillium" w:cs="Titilium"/>
          <w:sz w:val="21"/>
          <w:szCs w:val="21"/>
        </w:rPr>
        <w:lastRenderedPageBreak/>
        <w:t>pubblico interesse ovvero nel caso in cui il finanziamento da parte del soggetto pubblico erogatore non risulti completamente trasferito alla Stazione Appaltante;</w:t>
      </w:r>
    </w:p>
    <w:p w:rsidR="00B10B08" w:rsidRPr="00330A3D" w:rsidRDefault="00B10B08" w:rsidP="00330A3D">
      <w:pPr>
        <w:spacing w:after="0" w:line="240" w:lineRule="auto"/>
        <w:jc w:val="both"/>
        <w:rPr>
          <w:rFonts w:ascii="Titillium" w:eastAsia="Titilium" w:hAnsi="Titillium" w:cs="Titilium"/>
          <w:color w:val="FF0000"/>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Di impegnarsi a ottemperare al rispetto dei principi per la sostenibilità ambientale e per la fattibilità dell’intervento riguardo al principio orizzontale del “Do Not Significant Harm” (DNSH), ai sensi dell'articolo 17 del Regolamento (UE) 2020/852 e successivo art. 18 del Regolamento UE 241/2021 e della Circolare del MEF n. 33 del 13.10.2022 “Aggiornamento Guida operativa per il rispetto del principio di non arrecare danno significativo all'ambiente (cd. DNSH)”;</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Che il concorrente occupa un numero pari a … dipendenti, e che:</w:t>
      </w:r>
    </w:p>
    <w:tbl>
      <w:tblPr>
        <w:tblStyle w:val="ad"/>
        <w:tblW w:w="9433"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8866"/>
      </w:tblGrid>
      <w:tr w:rsidR="00B10B08" w:rsidRPr="00330A3D">
        <w:tc>
          <w:tcPr>
            <w:tcW w:w="567" w:type="dxa"/>
            <w:vAlign w:val="center"/>
          </w:tcPr>
          <w:p w:rsidR="00B10B08" w:rsidRPr="00330A3D" w:rsidRDefault="000D7D38" w:rsidP="00330A3D">
            <w:pPr>
              <w:jc w:val="center"/>
              <w:rPr>
                <w:rFonts w:ascii="Titillium" w:eastAsia="Titilium" w:hAnsi="Titillium" w:cs="Titilium"/>
                <w:sz w:val="21"/>
                <w:szCs w:val="21"/>
              </w:rPr>
            </w:pPr>
            <w:r w:rsidRPr="00330A3D">
              <w:rPr>
                <w:rFonts w:ascii="Cambria Math" w:eastAsia="Titilium" w:hAnsi="Cambria Math" w:cs="Cambria Math"/>
                <w:sz w:val="21"/>
                <w:szCs w:val="21"/>
              </w:rPr>
              <w:t>⃝</w:t>
            </w:r>
          </w:p>
        </w:tc>
        <w:tc>
          <w:tcPr>
            <w:tcW w:w="8866" w:type="dxa"/>
          </w:tcPr>
          <w:p w:rsidR="00B10B08" w:rsidRPr="00330A3D" w:rsidRDefault="000D7D38" w:rsidP="00330A3D">
            <w:pPr>
              <w:jc w:val="both"/>
              <w:rPr>
                <w:rFonts w:ascii="Titillium" w:eastAsia="Titilium" w:hAnsi="Titillium" w:cs="Titilium"/>
                <w:sz w:val="21"/>
                <w:szCs w:val="21"/>
              </w:rPr>
            </w:pPr>
            <w:r w:rsidRPr="00330A3D">
              <w:rPr>
                <w:rFonts w:ascii="Titillium" w:eastAsia="Titilium" w:hAnsi="Titillium" w:cs="Titilium"/>
                <w:sz w:val="21"/>
                <w:szCs w:val="21"/>
              </w:rPr>
              <w:t>In quanto impresa che occupa più di 50 dipendenti, è soggetta all’obbligo di redazione del rapporto sulla situazione del personale, ai sensi dell’articolo 46, comma 2, decreto legislativo n. 198/2006. Pertanto:</w:t>
            </w:r>
          </w:p>
          <w:p w:rsidR="00B10B08" w:rsidRPr="00330A3D" w:rsidRDefault="000D7D38" w:rsidP="00330A3D">
            <w:pPr>
              <w:numPr>
                <w:ilvl w:val="0"/>
                <w:numId w:val="2"/>
              </w:numPr>
              <w:ind w:firstLine="0"/>
              <w:jc w:val="both"/>
              <w:rPr>
                <w:rFonts w:ascii="Titillium" w:eastAsia="Titilium" w:hAnsi="Titillium" w:cs="Titilium"/>
                <w:sz w:val="21"/>
                <w:szCs w:val="21"/>
              </w:rPr>
            </w:pPr>
            <w:r w:rsidRPr="00330A3D">
              <w:rPr>
                <w:rFonts w:ascii="Titillium" w:eastAsia="Titilium" w:hAnsi="Titillium" w:cs="Titilium"/>
                <w:sz w:val="21"/>
                <w:szCs w:val="21"/>
              </w:rPr>
              <w:t>Allega all’offerta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 In aggiunta, nel caso in cui non abbia provveduto alla trasmissione del rapporto nei termini indicati dall'articolo 46 del decreto legislativo n. 198/2006: Allega all’offerta l’attestazione dell’avvenuta trasmissione alle rappresentanze sindacali aziendali e alla consigliera e al consigliere regionale di parità, in data anteriore a quella di presentazione dell’offerta.</w:t>
            </w:r>
          </w:p>
          <w:p w:rsidR="00B10B08" w:rsidRPr="00330A3D" w:rsidRDefault="000D7D38" w:rsidP="00330A3D">
            <w:pPr>
              <w:numPr>
                <w:ilvl w:val="0"/>
                <w:numId w:val="2"/>
              </w:numPr>
              <w:ind w:firstLine="0"/>
              <w:jc w:val="both"/>
              <w:rPr>
                <w:rFonts w:ascii="Titillium" w:eastAsia="Titilium" w:hAnsi="Titillium" w:cs="Titilium"/>
                <w:sz w:val="21"/>
                <w:szCs w:val="21"/>
              </w:rPr>
            </w:pPr>
            <w:r w:rsidRPr="00330A3D">
              <w:rPr>
                <w:rFonts w:ascii="Titillium" w:eastAsia="Titilium" w:hAnsi="Titillium" w:cs="Titilium"/>
                <w:sz w:val="21"/>
                <w:szCs w:val="21"/>
              </w:rPr>
              <w:t>Si impegna, in caso di aggiudicazione, a consegnare alla Stazione appaltante, entro 6 mesi dalla stipula del contratto, una relazione relativa all’assolvimento degli obblighi di cui alla Legge n. 68/1999 e alle eventuali sanzioni e provvedimenti disposti a proprio carico nel triennio antecedente la data di scadenza di presentazione delle offerte. La relazione dovrà essere trasmessa entro il medesimo termine anche alle rappresentanze sindacali aziendali.</w:t>
            </w:r>
          </w:p>
        </w:tc>
      </w:tr>
      <w:tr w:rsidR="00B10B08" w:rsidRPr="00330A3D">
        <w:tc>
          <w:tcPr>
            <w:tcW w:w="567" w:type="dxa"/>
            <w:vAlign w:val="center"/>
          </w:tcPr>
          <w:p w:rsidR="00B10B08" w:rsidRPr="00330A3D" w:rsidRDefault="000D7D38" w:rsidP="00330A3D">
            <w:pPr>
              <w:jc w:val="center"/>
              <w:rPr>
                <w:rFonts w:ascii="Titillium" w:eastAsia="Titilium" w:hAnsi="Titillium" w:cs="Titilium"/>
                <w:sz w:val="21"/>
                <w:szCs w:val="21"/>
              </w:rPr>
            </w:pPr>
            <w:r w:rsidRPr="00330A3D">
              <w:rPr>
                <w:rFonts w:ascii="Cambria Math" w:eastAsia="Titilium" w:hAnsi="Cambria Math" w:cs="Cambria Math"/>
                <w:sz w:val="21"/>
                <w:szCs w:val="21"/>
              </w:rPr>
              <w:t>⃝</w:t>
            </w:r>
          </w:p>
        </w:tc>
        <w:tc>
          <w:tcPr>
            <w:tcW w:w="8866" w:type="dxa"/>
          </w:tcPr>
          <w:p w:rsidR="00B10B08" w:rsidRPr="00330A3D" w:rsidRDefault="000D7D38" w:rsidP="00330A3D">
            <w:pPr>
              <w:jc w:val="both"/>
              <w:rPr>
                <w:rFonts w:ascii="Titillium" w:eastAsia="Titilium" w:hAnsi="Titillium" w:cs="Titilium"/>
                <w:sz w:val="21"/>
                <w:szCs w:val="21"/>
              </w:rPr>
            </w:pPr>
            <w:r w:rsidRPr="00330A3D">
              <w:rPr>
                <w:rFonts w:ascii="Titillium" w:eastAsia="Titilium" w:hAnsi="Titillium" w:cs="Titilium"/>
                <w:sz w:val="21"/>
                <w:szCs w:val="21"/>
              </w:rPr>
              <w:t>In quanto impresa che occupa un numero di dipendenti pari o superiore a 15 e non superiore a 50:</w:t>
            </w:r>
          </w:p>
          <w:p w:rsidR="00B10B08" w:rsidRPr="00330A3D" w:rsidRDefault="000D7D38" w:rsidP="00330A3D">
            <w:pPr>
              <w:numPr>
                <w:ilvl w:val="0"/>
                <w:numId w:val="2"/>
              </w:numPr>
              <w:ind w:firstLine="0"/>
              <w:jc w:val="both"/>
              <w:rPr>
                <w:rFonts w:ascii="Titillium" w:eastAsia="Titilium" w:hAnsi="Titillium" w:cs="Titilium"/>
                <w:sz w:val="21"/>
                <w:szCs w:val="21"/>
              </w:rPr>
            </w:pPr>
            <w:r w:rsidRPr="00330A3D">
              <w:rPr>
                <w:rFonts w:ascii="Titillium" w:eastAsia="Titilium" w:hAnsi="Titillium" w:cs="Titilium"/>
                <w:sz w:val="21"/>
                <w:szCs w:val="21"/>
              </w:rPr>
              <w:t>Dichiara che nei 12 mesi precedenti al termine di presentazione dell’offerta non è incorsa nella violazione dell’obbligo di produrre alla stazione appaltante di un precedente contratto di appalto finanziato in tutto o in parte con fondi P.N.R.R. o P.N.C. la relazione di genere sulla situazione del personale maschile e femminile cui all’art. 47, comma 3, del D.L. n. 77/2021 convertito in L. n. 108/2021. Pertanto:</w:t>
            </w:r>
          </w:p>
          <w:p w:rsidR="00B10B08" w:rsidRPr="00330A3D" w:rsidRDefault="000D7D38" w:rsidP="00330A3D">
            <w:pPr>
              <w:numPr>
                <w:ilvl w:val="0"/>
                <w:numId w:val="2"/>
              </w:numPr>
              <w:ind w:firstLine="0"/>
              <w:jc w:val="both"/>
              <w:rPr>
                <w:rFonts w:ascii="Titillium" w:eastAsia="Titilium" w:hAnsi="Titillium" w:cs="Titilium"/>
                <w:sz w:val="21"/>
                <w:szCs w:val="21"/>
              </w:rPr>
            </w:pPr>
            <w:r w:rsidRPr="00330A3D">
              <w:rPr>
                <w:rFonts w:ascii="Titillium" w:eastAsia="Titilium" w:hAnsi="Titillium" w:cs="Titilium"/>
                <w:sz w:val="21"/>
                <w:szCs w:val="21"/>
              </w:rPr>
              <w:t>Si impegna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Stazione appaltante, nonché alle rappresentanze sindacali aziendali, alla consigliera e al consigliere regionale di parità, entro 6 mesi dalla stipula del contratto.</w:t>
            </w:r>
          </w:p>
          <w:p w:rsidR="00B10B08" w:rsidRPr="00330A3D" w:rsidRDefault="000D7D38" w:rsidP="00330A3D">
            <w:pPr>
              <w:numPr>
                <w:ilvl w:val="0"/>
                <w:numId w:val="2"/>
              </w:numPr>
              <w:ind w:firstLine="0"/>
              <w:jc w:val="both"/>
              <w:rPr>
                <w:rFonts w:ascii="Titillium" w:eastAsia="Titilium" w:hAnsi="Titillium" w:cs="Titilium"/>
                <w:sz w:val="21"/>
                <w:szCs w:val="21"/>
              </w:rPr>
            </w:pPr>
            <w:r w:rsidRPr="00330A3D">
              <w:rPr>
                <w:rFonts w:ascii="Titillium" w:eastAsia="Titilium" w:hAnsi="Titillium" w:cs="Titilium"/>
                <w:sz w:val="21"/>
                <w:szCs w:val="21"/>
              </w:rPr>
              <w:t xml:space="preserve">Si impegna, in caso di aggiudicazione, a consegnare alla Stazione appaltante, entro 6 mesi dalla stipula del contratto, una relazione relativa all’assolvimento degli obblighi di cui alla Legge n. 68/1999 e alle eventuali sanzioni e provvedimenti disposti a proprio carico nel triennio antecedente la data di scadenza di presentazione delle offerte. La relazione </w:t>
            </w:r>
            <w:r w:rsidRPr="00330A3D">
              <w:rPr>
                <w:rFonts w:ascii="Titillium" w:eastAsia="Titilium" w:hAnsi="Titillium" w:cs="Titilium"/>
                <w:sz w:val="21"/>
                <w:szCs w:val="21"/>
              </w:rPr>
              <w:lastRenderedPageBreak/>
              <w:t>dovrà essere trasmessa entro il medesimo termine anche alle rappresentanze sindacali aziendali.</w:t>
            </w:r>
          </w:p>
        </w:tc>
      </w:tr>
      <w:tr w:rsidR="00B10B08" w:rsidRPr="00330A3D">
        <w:tc>
          <w:tcPr>
            <w:tcW w:w="567" w:type="dxa"/>
            <w:vAlign w:val="center"/>
          </w:tcPr>
          <w:p w:rsidR="00B10B08" w:rsidRPr="00330A3D" w:rsidRDefault="000D7D38" w:rsidP="00330A3D">
            <w:pPr>
              <w:jc w:val="center"/>
              <w:rPr>
                <w:rFonts w:ascii="Titillium" w:eastAsia="Titilium" w:hAnsi="Titillium" w:cs="Titilium"/>
                <w:sz w:val="21"/>
                <w:szCs w:val="21"/>
              </w:rPr>
            </w:pPr>
            <w:r w:rsidRPr="00330A3D">
              <w:rPr>
                <w:rFonts w:ascii="Cambria Math" w:eastAsia="Titilium" w:hAnsi="Cambria Math" w:cs="Cambria Math"/>
                <w:sz w:val="21"/>
                <w:szCs w:val="21"/>
              </w:rPr>
              <w:lastRenderedPageBreak/>
              <w:t>⃝</w:t>
            </w:r>
          </w:p>
        </w:tc>
        <w:tc>
          <w:tcPr>
            <w:tcW w:w="8866" w:type="dxa"/>
          </w:tcPr>
          <w:p w:rsidR="00B10B08" w:rsidRPr="00330A3D" w:rsidRDefault="000D7D38" w:rsidP="00330A3D">
            <w:pPr>
              <w:jc w:val="both"/>
              <w:rPr>
                <w:rFonts w:ascii="Titillium" w:eastAsia="Titilium" w:hAnsi="Titillium" w:cs="Titilium"/>
                <w:sz w:val="21"/>
                <w:szCs w:val="21"/>
              </w:rPr>
            </w:pPr>
            <w:r w:rsidRPr="00330A3D">
              <w:rPr>
                <w:rFonts w:ascii="Titillium" w:eastAsia="Titilium" w:hAnsi="Titillium" w:cs="Titilium"/>
                <w:sz w:val="21"/>
                <w:szCs w:val="21"/>
              </w:rPr>
              <w:t>In quanto impresa che occupa un numero di dipendenti inferiore a 15 di non essere tenuta al rispetto di quanto prescritto dall’art. 47, commi 2, 3 e 3bis, del D.L. n. 77/2021 convertito in L. n. 108/2021.</w:t>
            </w:r>
          </w:p>
        </w:tc>
      </w:tr>
    </w:tbl>
    <w:p w:rsidR="00B10B08" w:rsidRPr="00330A3D" w:rsidRDefault="00B10B08" w:rsidP="00330A3D">
      <w:pPr>
        <w:spacing w:after="0" w:line="240" w:lineRule="auto"/>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Di essere edotto degli obblighi derivanti dal Codice di comportamento adottato dall’Amministrazione reperibile sul sito internet www.inaf.it, sezione Amministrazione trasparente, sottosezione Disposizioni generali, e di impegnarsi, in caso di aggiudicazione, ad osservare e a far osservare ai propri dipendenti e collaboratori, per quanto applicabile, il suddetto codice, pena la risoluzione del contratto;</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highlight w:val="white"/>
        </w:rPr>
      </w:pPr>
      <w:r w:rsidRPr="00330A3D">
        <w:rPr>
          <w:rFonts w:ascii="Titillium" w:eastAsia="Titilium" w:hAnsi="Titillium" w:cs="Titilium"/>
          <w:sz w:val="21"/>
          <w:szCs w:val="21"/>
          <w:highlight w:val="white"/>
        </w:rPr>
        <w:t>Di aver preso visione del Regolamento per la gestione, tutela e valorizzazione della proprieta' intellettuale e della incentivazione dell'innovazione di INAF</w:t>
      </w:r>
      <w:r w:rsidRPr="00330A3D">
        <w:rPr>
          <w:rFonts w:ascii="Titillium" w:eastAsia="Titilium" w:hAnsi="Titillium" w:cs="Titilium"/>
          <w:sz w:val="21"/>
          <w:szCs w:val="21"/>
          <w:highlight w:val="white"/>
          <w:vertAlign w:val="superscript"/>
        </w:rPr>
        <w:footnoteReference w:id="2"/>
      </w:r>
      <w:r w:rsidRPr="00330A3D">
        <w:rPr>
          <w:rFonts w:ascii="Titillium" w:eastAsia="Titilium" w:hAnsi="Titillium" w:cs="Titilium"/>
          <w:sz w:val="21"/>
          <w:szCs w:val="21"/>
          <w:highlight w:val="white"/>
        </w:rPr>
        <w:t>, e che si impegna a garantire tutte le tutele in materia di proprieta' intellettuale, intesa come il complesso dei diritti di proprieta' sui risultati, trovati e prodotti derivanti dall'«attivita' di ricerca» e/o da «altre attivita'», svolte nello svolgimento dell’appalto in oggetto.</w:t>
      </w:r>
    </w:p>
    <w:p w:rsidR="00B10B08" w:rsidRPr="00330A3D" w:rsidRDefault="00B10B08" w:rsidP="00330A3D">
      <w:pPr>
        <w:spacing w:after="0" w:line="240" w:lineRule="auto"/>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Di accettare il patto di integrità del INAF, parte della documentazione di gara. La mancata accettazione e/o il mancato rispetto delle clausole contenute nel protocollo di legalità/patto di integrità costituisce causa di esclusione dalla gara o di risoluzione del contratto, ai sensi dell’articolo 83-bis, del decreto legislativo 159/2011;</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Per quanto concerne l’art. 53, comma 16-ter, del D. Lgs. 165/2001:</w:t>
      </w:r>
    </w:p>
    <w:tbl>
      <w:tblPr>
        <w:tblStyle w:val="ae"/>
        <w:tblW w:w="9433"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8866"/>
      </w:tblGrid>
      <w:tr w:rsidR="00B10B08" w:rsidRPr="00330A3D">
        <w:tc>
          <w:tcPr>
            <w:tcW w:w="567" w:type="dxa"/>
            <w:vAlign w:val="center"/>
          </w:tcPr>
          <w:p w:rsidR="00B10B08" w:rsidRPr="00330A3D" w:rsidRDefault="000D7D38" w:rsidP="00330A3D">
            <w:pPr>
              <w:jc w:val="center"/>
              <w:rPr>
                <w:rFonts w:ascii="Titillium" w:eastAsia="Titilium" w:hAnsi="Titillium" w:cs="Titilium"/>
                <w:sz w:val="21"/>
                <w:szCs w:val="21"/>
              </w:rPr>
            </w:pPr>
            <w:r w:rsidRPr="00330A3D">
              <w:rPr>
                <w:rFonts w:ascii="Cambria Math" w:eastAsia="Titilium" w:hAnsi="Cambria Math" w:cs="Cambria Math"/>
                <w:sz w:val="21"/>
                <w:szCs w:val="21"/>
              </w:rPr>
              <w:t>⃝</w:t>
            </w:r>
          </w:p>
        </w:tc>
        <w:tc>
          <w:tcPr>
            <w:tcW w:w="8866" w:type="dxa"/>
          </w:tcPr>
          <w:p w:rsidR="00B10B08" w:rsidRPr="00330A3D" w:rsidRDefault="000D7D38" w:rsidP="00330A3D">
            <w:pPr>
              <w:jc w:val="both"/>
              <w:rPr>
                <w:rFonts w:ascii="Titillium" w:eastAsia="Titilium" w:hAnsi="Titillium" w:cs="Titilium"/>
                <w:sz w:val="21"/>
                <w:szCs w:val="21"/>
              </w:rPr>
            </w:pPr>
            <w:r w:rsidRPr="00330A3D">
              <w:rPr>
                <w:rFonts w:ascii="Titillium" w:eastAsia="Titilium" w:hAnsi="Titillium" w:cs="Titilium"/>
                <w:sz w:val="21"/>
                <w:szCs w:val="21"/>
              </w:rPr>
              <w:t>Di non aver conferito incarichi professionali né concluso alcun contratto di lavoro subordinato o autonomo ad ex-dipendenti che hanno cessato il rapporto di lavoro con il INAF da meno di tre anni i quali, negli ultimi tre anni di servizio, hanno esercitato poteri autoritativi o negoziali per conto dell’ INAF medesimo</w:t>
            </w:r>
          </w:p>
        </w:tc>
      </w:tr>
      <w:tr w:rsidR="00B10B08" w:rsidRPr="00330A3D">
        <w:tc>
          <w:tcPr>
            <w:tcW w:w="567" w:type="dxa"/>
            <w:vAlign w:val="center"/>
          </w:tcPr>
          <w:p w:rsidR="00B10B08" w:rsidRPr="00330A3D" w:rsidRDefault="000D7D38" w:rsidP="00330A3D">
            <w:pPr>
              <w:jc w:val="center"/>
              <w:rPr>
                <w:rFonts w:ascii="Titillium" w:eastAsia="Titilium" w:hAnsi="Titillium" w:cs="Titilium"/>
                <w:sz w:val="21"/>
                <w:szCs w:val="21"/>
              </w:rPr>
            </w:pPr>
            <w:r w:rsidRPr="00330A3D">
              <w:rPr>
                <w:rFonts w:ascii="Cambria Math" w:eastAsia="Titilium" w:hAnsi="Cambria Math" w:cs="Cambria Math"/>
                <w:sz w:val="21"/>
                <w:szCs w:val="21"/>
              </w:rPr>
              <w:t>⃝</w:t>
            </w:r>
          </w:p>
        </w:tc>
        <w:tc>
          <w:tcPr>
            <w:tcW w:w="8866" w:type="dxa"/>
          </w:tcPr>
          <w:p w:rsidR="00B10B08" w:rsidRPr="00330A3D" w:rsidRDefault="000D7D38" w:rsidP="00330A3D">
            <w:pPr>
              <w:jc w:val="both"/>
              <w:rPr>
                <w:rFonts w:ascii="Titillium" w:eastAsia="Titilium" w:hAnsi="Titillium" w:cs="Titilium"/>
                <w:sz w:val="21"/>
                <w:szCs w:val="21"/>
              </w:rPr>
            </w:pPr>
            <w:r w:rsidRPr="00330A3D">
              <w:rPr>
                <w:rFonts w:ascii="Titillium" w:eastAsia="Titilium" w:hAnsi="Titillium" w:cs="Titilium"/>
                <w:sz w:val="21"/>
                <w:szCs w:val="21"/>
              </w:rPr>
              <w:t>Di avere conferito incarichi professionali e concluso contratto/i di lavoro subordinato o autonomo ad ex dipendenti dell’ INAF che hanno cessato il rapporto di lavoro da meno di tre anni i quali, negli ultimi tre anni di servizio, non hanno esercitato poteri autoritativi o negoziali per conto dell’ INAF medesimo</w:t>
            </w:r>
          </w:p>
        </w:tc>
      </w:tr>
      <w:tr w:rsidR="00B10B08" w:rsidRPr="00330A3D">
        <w:tc>
          <w:tcPr>
            <w:tcW w:w="567" w:type="dxa"/>
            <w:vAlign w:val="center"/>
          </w:tcPr>
          <w:p w:rsidR="00B10B08" w:rsidRPr="00330A3D" w:rsidRDefault="000D7D38" w:rsidP="00330A3D">
            <w:pPr>
              <w:jc w:val="center"/>
              <w:rPr>
                <w:rFonts w:ascii="Titillium" w:eastAsia="Titilium" w:hAnsi="Titillium" w:cs="Titilium"/>
                <w:sz w:val="21"/>
                <w:szCs w:val="21"/>
              </w:rPr>
            </w:pPr>
            <w:r w:rsidRPr="00330A3D">
              <w:rPr>
                <w:rFonts w:ascii="Cambria Math" w:eastAsia="Titilium" w:hAnsi="Cambria Math" w:cs="Cambria Math"/>
                <w:sz w:val="21"/>
                <w:szCs w:val="21"/>
              </w:rPr>
              <w:t>⃝</w:t>
            </w:r>
          </w:p>
        </w:tc>
        <w:tc>
          <w:tcPr>
            <w:tcW w:w="8866" w:type="dxa"/>
          </w:tcPr>
          <w:p w:rsidR="00B10B08" w:rsidRPr="00330A3D" w:rsidRDefault="000D7D38" w:rsidP="00330A3D">
            <w:pPr>
              <w:jc w:val="both"/>
              <w:rPr>
                <w:rFonts w:ascii="Titillium" w:eastAsia="Titilium" w:hAnsi="Titillium" w:cs="Titilium"/>
                <w:sz w:val="21"/>
                <w:szCs w:val="21"/>
              </w:rPr>
            </w:pPr>
            <w:r w:rsidRPr="00330A3D">
              <w:rPr>
                <w:rFonts w:ascii="Titillium" w:eastAsia="Titilium" w:hAnsi="Titillium" w:cs="Titilium"/>
                <w:sz w:val="21"/>
                <w:szCs w:val="21"/>
              </w:rPr>
              <w:t>Di avere conferito incarichi professionali e concluso contratto/i di lavoro subordinato o autonomo ad ex dipendenti dell’ INAF, dopo tre anni da quando gli stessi hanno cessato il rapporto di lavoro con il INAF medesimo e quindi nel rispetto delle previsioni di legge</w:t>
            </w:r>
          </w:p>
        </w:tc>
      </w:tr>
    </w:tbl>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Remunerativa l’offerta economica presentata giacché per la sua formulazione ha preso atto e tenuto conto:</w:t>
      </w:r>
    </w:p>
    <w:p w:rsidR="00B10B08" w:rsidRPr="00330A3D" w:rsidRDefault="000D7D38" w:rsidP="00330A3D">
      <w:pPr>
        <w:numPr>
          <w:ilvl w:val="1"/>
          <w:numId w:val="1"/>
        </w:numPr>
        <w:spacing w:after="0" w:line="240" w:lineRule="auto"/>
        <w:ind w:left="794"/>
        <w:jc w:val="both"/>
        <w:rPr>
          <w:rFonts w:ascii="Titillium" w:eastAsia="Titilium" w:hAnsi="Titillium" w:cs="Titilium"/>
          <w:sz w:val="21"/>
          <w:szCs w:val="21"/>
        </w:rPr>
      </w:pPr>
      <w:r w:rsidRPr="00330A3D">
        <w:rPr>
          <w:rFonts w:ascii="Titillium" w:eastAsia="Titilium" w:hAnsi="Titillium" w:cs="Titilium"/>
          <w:sz w:val="21"/>
          <w:szCs w:val="21"/>
        </w:rPr>
        <w:t>Delle condizioni contrattuali e degli oneri compresi quelli eventuali relativi in materia di sicurezza, di assicurazione, di condizioni di lavoro e di previdenza e assistenza in vigore nel luogo dove devono essere svolti i servizi/fornitura;</w:t>
      </w:r>
    </w:p>
    <w:p w:rsidR="00B10B08" w:rsidRPr="00330A3D" w:rsidRDefault="000D7D38" w:rsidP="00330A3D">
      <w:pPr>
        <w:numPr>
          <w:ilvl w:val="1"/>
          <w:numId w:val="1"/>
        </w:numPr>
        <w:spacing w:after="0" w:line="240" w:lineRule="auto"/>
        <w:ind w:left="794"/>
        <w:jc w:val="both"/>
        <w:rPr>
          <w:rFonts w:ascii="Titillium" w:eastAsia="Titilium" w:hAnsi="Titillium" w:cs="Titilium"/>
          <w:sz w:val="21"/>
          <w:szCs w:val="21"/>
        </w:rPr>
      </w:pPr>
      <w:r w:rsidRPr="00330A3D">
        <w:rPr>
          <w:rFonts w:ascii="Titillium" w:eastAsia="Titilium" w:hAnsi="Titillium" w:cs="Titilium"/>
          <w:sz w:val="21"/>
          <w:szCs w:val="21"/>
        </w:rPr>
        <w:t>Di tutte le circostanze generali, particolari e locali, nessuna esclusa ed eccettuata, che possono avere influito o influire sia sull’esecuzione della fornitura/servizio, sia sulla determinazione della propria offerta.</w:t>
      </w:r>
    </w:p>
    <w:p w:rsidR="00B10B08" w:rsidRPr="00330A3D" w:rsidRDefault="00B10B08" w:rsidP="00330A3D">
      <w:pPr>
        <w:spacing w:after="0" w:line="240" w:lineRule="auto"/>
        <w:ind w:left="720"/>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lastRenderedPageBreak/>
        <w:t>(Per gli operatori economici non residenti e privi di stabile organizzazione in Italia) L’impegno ad uniformarsi, in caso di aggiudicazione, alla disciplina di cui agli articoli 17, comma 2, e 53, comma 3 del D.P.R. 633/1972 e a comunicare all’Amministrazione la nomina del proprio rappresentante fiscale, nelle forme di legge;</w:t>
      </w:r>
    </w:p>
    <w:p w:rsidR="00B10B08" w:rsidRPr="00330A3D" w:rsidRDefault="00B10B08" w:rsidP="00330A3D">
      <w:pPr>
        <w:spacing w:after="0" w:line="240" w:lineRule="auto"/>
        <w:ind w:left="454"/>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(Per gli operatori economici non residenti e privi di stabile organizzazione in Italia) Il domicilio fiscale …, il codice fiscale …, la partita IVA …, l’indirizzo di posta elettronica certificata o strumento analogo negli altri Stati Membri, ai fini delle comunicazioni di cui all’articolo 76, comma 5 del Codice;</w:t>
      </w:r>
    </w:p>
    <w:p w:rsidR="00B10B08" w:rsidRPr="00330A3D" w:rsidRDefault="00B10B08" w:rsidP="00330A3D">
      <w:pPr>
        <w:spacing w:after="0" w:line="240" w:lineRule="auto"/>
        <w:jc w:val="both"/>
        <w:rPr>
          <w:rFonts w:ascii="Titillium" w:eastAsia="Titilium" w:hAnsi="Titillium" w:cs="Titilium"/>
          <w:sz w:val="21"/>
          <w:szCs w:val="21"/>
        </w:rPr>
      </w:pPr>
    </w:p>
    <w:p w:rsidR="00B10B08" w:rsidRPr="00330A3D" w:rsidRDefault="000D7D38" w:rsidP="00330A3D">
      <w:pPr>
        <w:numPr>
          <w:ilvl w:val="0"/>
          <w:numId w:val="1"/>
        </w:numPr>
        <w:spacing w:after="0" w:line="240" w:lineRule="auto"/>
        <w:ind w:firstLine="0"/>
        <w:jc w:val="both"/>
        <w:rPr>
          <w:rFonts w:ascii="Titillium" w:eastAsia="Titilium" w:hAnsi="Titillium" w:cs="Titilium"/>
          <w:sz w:val="21"/>
          <w:szCs w:val="21"/>
        </w:rPr>
      </w:pPr>
      <w:r w:rsidRPr="00330A3D">
        <w:rPr>
          <w:rFonts w:ascii="Titillium" w:eastAsia="Titilium" w:hAnsi="Titillium" w:cs="Titilium"/>
          <w:sz w:val="21"/>
          <w:szCs w:val="21"/>
        </w:rPr>
        <w:t>Di aver preso visione e di accettare il trattamento dei dati personali di cui al Disciplinare di gara.</w:t>
      </w:r>
    </w:p>
    <w:p w:rsidR="00B10B08" w:rsidRPr="00330A3D" w:rsidRDefault="00B10B08" w:rsidP="00330A3D">
      <w:pPr>
        <w:widowControl w:val="0"/>
        <w:spacing w:after="0" w:line="240" w:lineRule="auto"/>
        <w:jc w:val="both"/>
        <w:rPr>
          <w:rFonts w:ascii="Titillium" w:eastAsia="Titilium" w:hAnsi="Titillium" w:cs="Titilium"/>
          <w:sz w:val="21"/>
          <w:szCs w:val="21"/>
        </w:rPr>
      </w:pPr>
    </w:p>
    <w:p w:rsidR="00B10B08" w:rsidRPr="00330A3D" w:rsidRDefault="000D7D38" w:rsidP="00330A3D">
      <w:pPr>
        <w:widowControl w:val="0"/>
        <w:spacing w:after="0" w:line="240" w:lineRule="auto"/>
        <w:jc w:val="right"/>
        <w:rPr>
          <w:rFonts w:ascii="Titillium" w:eastAsia="Titilium" w:hAnsi="Titillium" w:cs="Titilium"/>
          <w:sz w:val="21"/>
          <w:szCs w:val="21"/>
        </w:rPr>
      </w:pPr>
      <w:bookmarkStart w:id="1" w:name="_heading=h.gjdgxs" w:colFirst="0" w:colLast="0"/>
      <w:bookmarkEnd w:id="1"/>
      <w:r w:rsidRPr="00330A3D">
        <w:rPr>
          <w:rFonts w:ascii="Titillium" w:eastAsia="Titilium" w:hAnsi="Titillium" w:cs="Titilium"/>
          <w:sz w:val="21"/>
          <w:szCs w:val="21"/>
        </w:rPr>
        <w:t>Firma digitale</w:t>
      </w:r>
      <w:r w:rsidRPr="00330A3D">
        <w:rPr>
          <w:rFonts w:ascii="Titillium" w:eastAsia="Titilium" w:hAnsi="Titillium" w:cs="Titilium"/>
          <w:sz w:val="21"/>
          <w:szCs w:val="21"/>
          <w:vertAlign w:val="superscript"/>
        </w:rPr>
        <w:footnoteReference w:id="3"/>
      </w:r>
      <w:r w:rsidRPr="00330A3D">
        <w:rPr>
          <w:rFonts w:ascii="Titillium" w:eastAsia="Titilium" w:hAnsi="Titillium" w:cs="Titilium"/>
          <w:sz w:val="21"/>
          <w:szCs w:val="21"/>
        </w:rPr>
        <w:t xml:space="preserve"> del legale rappresentante/procuratore</w:t>
      </w:r>
      <w:r w:rsidRPr="00330A3D">
        <w:rPr>
          <w:rFonts w:ascii="Titillium" w:eastAsia="Titilium" w:hAnsi="Titillium" w:cs="Titilium"/>
          <w:sz w:val="21"/>
          <w:szCs w:val="21"/>
          <w:vertAlign w:val="superscript"/>
        </w:rPr>
        <w:footnoteReference w:id="4"/>
      </w:r>
    </w:p>
    <w:p w:rsidR="00B10B08" w:rsidRPr="00330A3D" w:rsidRDefault="00B10B08" w:rsidP="00330A3D">
      <w:pPr>
        <w:rPr>
          <w:rFonts w:ascii="Titillium" w:eastAsia="Titilium" w:hAnsi="Titillium" w:cs="Titilium"/>
          <w:sz w:val="21"/>
          <w:szCs w:val="21"/>
        </w:rPr>
      </w:pPr>
      <w:bookmarkStart w:id="2" w:name="_heading=h.30j0zll" w:colFirst="0" w:colLast="0"/>
      <w:bookmarkEnd w:id="2"/>
    </w:p>
    <w:sectPr w:rsidR="00B10B08" w:rsidRPr="00330A3D">
      <w:headerReference w:type="default" r:id="rId8"/>
      <w:footerReference w:type="default" r:id="rId9"/>
      <w:pgSz w:w="11906" w:h="16838"/>
      <w:pgMar w:top="2393" w:right="1021" w:bottom="964" w:left="1021" w:header="284" w:footer="476"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37F1" w:rsidRDefault="006C37F1">
      <w:pPr>
        <w:spacing w:after="0" w:line="240" w:lineRule="auto"/>
      </w:pPr>
      <w:r>
        <w:separator/>
      </w:r>
    </w:p>
  </w:endnote>
  <w:endnote w:type="continuationSeparator" w:id="0">
    <w:p w:rsidR="006C37F1" w:rsidRDefault="006C3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tillium">
    <w:panose1 w:val="00000500000000000000"/>
    <w:charset w:val="00"/>
    <w:family w:val="modern"/>
    <w:notTrueType/>
    <w:pitch w:val="variable"/>
    <w:sig w:usb0="00000007" w:usb1="00000001" w:usb2="00000000" w:usb3="00000000" w:csb0="00000093" w:csb1="00000000"/>
  </w:font>
  <w:font w:name="Titilium">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B08" w:rsidRDefault="000D7D38">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 </w:t>
    </w:r>
    <w:r>
      <w:rPr>
        <w:color w:val="000000"/>
      </w:rPr>
      <w:fldChar w:fldCharType="begin"/>
    </w:r>
    <w:r>
      <w:rPr>
        <w:color w:val="000000"/>
      </w:rPr>
      <w:instrText>PAGE</w:instrText>
    </w:r>
    <w:r>
      <w:rPr>
        <w:color w:val="000000"/>
      </w:rPr>
      <w:fldChar w:fldCharType="separate"/>
    </w:r>
    <w:r w:rsidR="00460EFD">
      <w:rPr>
        <w:noProof/>
        <w:color w:val="000000"/>
      </w:rPr>
      <w:t>1</w:t>
    </w:r>
    <w:r>
      <w:rPr>
        <w:color w:val="000000"/>
      </w:rPr>
      <w:fldChar w:fldCharType="end"/>
    </w:r>
  </w:p>
  <w:p w:rsidR="00B10B08" w:rsidRDefault="00B10B0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37F1" w:rsidRDefault="006C37F1">
      <w:pPr>
        <w:spacing w:after="0" w:line="240" w:lineRule="auto"/>
      </w:pPr>
      <w:r>
        <w:separator/>
      </w:r>
    </w:p>
  </w:footnote>
  <w:footnote w:type="continuationSeparator" w:id="0">
    <w:p w:rsidR="006C37F1" w:rsidRDefault="006C37F1">
      <w:pPr>
        <w:spacing w:after="0" w:line="240" w:lineRule="auto"/>
      </w:pPr>
      <w:r>
        <w:continuationSeparator/>
      </w:r>
    </w:p>
  </w:footnote>
  <w:footnote w:id="1">
    <w:p w:rsidR="00B10B08" w:rsidRDefault="000D7D38">
      <w:pPr>
        <w:pBdr>
          <w:top w:val="nil"/>
          <w:left w:val="nil"/>
          <w:bottom w:val="nil"/>
          <w:right w:val="nil"/>
          <w:between w:val="nil"/>
        </w:pBdr>
        <w:spacing w:after="0" w:line="240" w:lineRule="auto"/>
        <w:rPr>
          <w:rFonts w:ascii="Titilium" w:eastAsia="Titilium" w:hAnsi="Titilium" w:cs="Titilium"/>
          <w:color w:val="000000"/>
          <w:sz w:val="20"/>
          <w:szCs w:val="20"/>
        </w:rPr>
      </w:pPr>
      <w:r>
        <w:rPr>
          <w:vertAlign w:val="superscript"/>
        </w:rPr>
        <w:footnoteRef/>
      </w:r>
      <w:r>
        <w:rPr>
          <w:color w:val="000000"/>
          <w:sz w:val="16"/>
          <w:szCs w:val="16"/>
        </w:rPr>
        <w:t xml:space="preserve"> </w:t>
      </w:r>
      <w:r>
        <w:rPr>
          <w:rFonts w:ascii="Titilium" w:eastAsia="Titilium" w:hAnsi="Titilium" w:cs="Titilium"/>
          <w:color w:val="000000"/>
          <w:sz w:val="20"/>
          <w:szCs w:val="20"/>
        </w:rPr>
        <w:t>Se inseriti nel disciplinare</w:t>
      </w:r>
    </w:p>
  </w:footnote>
  <w:footnote w:id="2">
    <w:p w:rsidR="00B10B08" w:rsidRDefault="000D7D38">
      <w:pPr>
        <w:spacing w:after="0" w:line="240" w:lineRule="auto"/>
        <w:rPr>
          <w:rFonts w:ascii="Titilium" w:eastAsia="Titilium" w:hAnsi="Titilium" w:cs="Titilium"/>
          <w:sz w:val="20"/>
          <w:szCs w:val="20"/>
        </w:rPr>
      </w:pPr>
      <w:r>
        <w:rPr>
          <w:vertAlign w:val="superscript"/>
        </w:rPr>
        <w:footnoteRef/>
      </w:r>
      <w:r>
        <w:rPr>
          <w:sz w:val="20"/>
          <w:szCs w:val="20"/>
        </w:rPr>
        <w:t xml:space="preserve"> </w:t>
      </w:r>
      <w:r>
        <w:rPr>
          <w:rFonts w:ascii="Titilium" w:eastAsia="Titilium" w:hAnsi="Titilium" w:cs="Titilium"/>
          <w:sz w:val="20"/>
          <w:szCs w:val="20"/>
        </w:rPr>
        <w:t>http://www.inaf.it/it/sedi/sede-centrale-nuova/direzione-scientifica/relazioni-industriali/materiali/Regolamento-IP-ATTO_COMPLETO.pdf</w:t>
      </w:r>
    </w:p>
  </w:footnote>
  <w:footnote w:id="3">
    <w:p w:rsidR="00B10B08" w:rsidRDefault="000D7D38">
      <w:pPr>
        <w:pBdr>
          <w:top w:val="nil"/>
          <w:left w:val="nil"/>
          <w:bottom w:val="nil"/>
          <w:right w:val="nil"/>
          <w:between w:val="nil"/>
        </w:pBdr>
        <w:spacing w:after="0" w:line="240" w:lineRule="auto"/>
        <w:jc w:val="both"/>
        <w:rPr>
          <w:rFonts w:ascii="Titilium" w:eastAsia="Titilium" w:hAnsi="Titilium" w:cs="Titilium"/>
          <w:color w:val="000000"/>
          <w:sz w:val="20"/>
          <w:szCs w:val="20"/>
        </w:rPr>
      </w:pPr>
      <w:r>
        <w:rPr>
          <w:vertAlign w:val="superscript"/>
        </w:rPr>
        <w:footnoteRef/>
      </w:r>
      <w:r>
        <w:rPr>
          <w:rFonts w:ascii="Titilium" w:eastAsia="Titilium" w:hAnsi="Titilium" w:cs="Titilium"/>
          <w:color w:val="000000"/>
          <w:sz w:val="20"/>
          <w:szCs w:val="20"/>
        </w:rPr>
        <w:t xml:space="preserve"> Per gli operatori economici italiani o stranieri residenti in Italia, la dichiarazione deve essere sottoscritta da un legale rappresentante ovvero da un procuratore</w:t>
      </w:r>
      <w:r>
        <w:rPr>
          <w:rFonts w:ascii="Titilium" w:eastAsia="Titilium" w:hAnsi="Titilium" w:cs="Titilium"/>
          <w:color w:val="000000"/>
          <w:sz w:val="20"/>
          <w:szCs w:val="20"/>
          <w:vertAlign w:val="superscript"/>
        </w:rPr>
        <w:t>3</w:t>
      </w:r>
      <w:r>
        <w:rPr>
          <w:rFonts w:ascii="Titilium" w:eastAsia="Titilium" w:hAnsi="Titilium" w:cs="Titilium"/>
          <w:color w:val="000000"/>
          <w:sz w:val="20"/>
          <w:szCs w:val="20"/>
        </w:rPr>
        <w:t xml:space="preserv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4">
    <w:p w:rsidR="00B10B08" w:rsidRDefault="000D7D38">
      <w:pPr>
        <w:pBdr>
          <w:top w:val="nil"/>
          <w:left w:val="nil"/>
          <w:bottom w:val="nil"/>
          <w:right w:val="nil"/>
          <w:between w:val="nil"/>
        </w:pBdr>
        <w:spacing w:after="0" w:line="240" w:lineRule="auto"/>
        <w:jc w:val="both"/>
        <w:rPr>
          <w:rFonts w:ascii="Titilium" w:eastAsia="Titilium" w:hAnsi="Titilium" w:cs="Titilium"/>
          <w:color w:val="000000"/>
          <w:sz w:val="20"/>
          <w:szCs w:val="20"/>
        </w:rPr>
      </w:pPr>
      <w:r>
        <w:rPr>
          <w:vertAlign w:val="superscript"/>
        </w:rPr>
        <w:footnoteRef/>
      </w:r>
      <w:r>
        <w:rPr>
          <w:rFonts w:ascii="Titilium" w:eastAsia="Titilium" w:hAnsi="Titilium" w:cs="Titilium"/>
          <w:color w:val="000000"/>
          <w:sz w:val="20"/>
          <w:szCs w:val="20"/>
        </w:rPr>
        <w:t xml:space="preserve"> 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0B08" w:rsidRDefault="000D7D38">
    <w:r>
      <w:rPr>
        <w:rFonts w:ascii="Arial" w:eastAsia="Arial" w:hAnsi="Arial" w:cs="Arial"/>
        <w:noProof/>
        <w:color w:val="000000"/>
      </w:rPr>
      <w:drawing>
        <wp:anchor distT="0" distB="0" distL="114300" distR="114300" simplePos="0" relativeHeight="251658240" behindDoc="1" locked="0" layoutInCell="1" allowOverlap="1">
          <wp:simplePos x="0" y="0"/>
          <wp:positionH relativeFrom="page">
            <wp:align>left</wp:align>
          </wp:positionH>
          <wp:positionV relativeFrom="paragraph">
            <wp:posOffset>-165100</wp:posOffset>
          </wp:positionV>
          <wp:extent cx="7673340" cy="805180"/>
          <wp:effectExtent l="0" t="0" r="3810" b="0"/>
          <wp:wrapTight wrapText="bothSides">
            <wp:wrapPolygon edited="0">
              <wp:start x="0" y="0"/>
              <wp:lineTo x="0" y="20953"/>
              <wp:lineTo x="21557" y="20953"/>
              <wp:lineTo x="21557" y="0"/>
              <wp:lineTo x="0" y="0"/>
            </wp:wrapPolygon>
          </wp:wrapTight>
          <wp:docPr id="2" name="image1.png" descr="https://lh7-eu.googleusercontent.com/R_cbaG6fgy0mdknlcBBBjCd-WJz7o7x2R9735aLLz3nSbvrDpOAircKLxCfJvIHVikUHiyORkegWagZ3qtFdN7gPDqSwvQ9qB8gN8k8O-j7mg5uWoDAV5Oa7eUSjwZ-uUg4r6ijRAlyc"/>
          <wp:cNvGraphicFramePr/>
          <a:graphic xmlns:a="http://schemas.openxmlformats.org/drawingml/2006/main">
            <a:graphicData uri="http://schemas.openxmlformats.org/drawingml/2006/picture">
              <pic:pic xmlns:pic="http://schemas.openxmlformats.org/drawingml/2006/picture">
                <pic:nvPicPr>
                  <pic:cNvPr id="0" name="image1.png" descr="https://lh7-eu.googleusercontent.com/R_cbaG6fgy0mdknlcBBBjCd-WJz7o7x2R9735aLLz3nSbvrDpOAircKLxCfJvIHVikUHiyORkegWagZ3qtFdN7gPDqSwvQ9qB8gN8k8O-j7mg5uWoDAV5Oa7eUSjwZ-uUg4r6ijRAlyc"/>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7673340" cy="805180"/>
                  </a:xfrm>
                  <a:prstGeom prst="rect">
                    <a:avLst/>
                  </a:prstGeom>
                  <a:ln/>
                </pic:spPr>
              </pic:pic>
            </a:graphicData>
          </a:graphic>
          <wp14:sizeRelH relativeFrom="margin">
            <wp14:pctWidth>0</wp14:pctWidth>
          </wp14:sizeRelH>
        </wp:anchor>
      </w:drawing>
    </w:r>
  </w:p>
  <w:p w:rsidR="00B10B08" w:rsidRDefault="000D7D38">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93719"/>
    <w:multiLevelType w:val="multilevel"/>
    <w:tmpl w:val="FB988D6A"/>
    <w:lvl w:ilvl="0">
      <w:start w:val="1"/>
      <w:numFmt w:val="upperLetter"/>
      <w:lvlText w:val="%1."/>
      <w:lvlJc w:val="left"/>
      <w:pPr>
        <w:ind w:left="454" w:hanging="454"/>
      </w:pPr>
      <w:rPr>
        <w:b/>
        <w:i w:val="0"/>
        <w:sz w:val="22"/>
        <w:szCs w:val="22"/>
      </w:rPr>
    </w:lvl>
    <w:lvl w:ilvl="1">
      <w:start w:val="1"/>
      <w:numFmt w:val="lowerLetter"/>
      <w:lvlText w:val="%2)"/>
      <w:lvlJc w:val="left"/>
      <w:pPr>
        <w:ind w:left="568" w:firstLine="0"/>
      </w:pPr>
      <w:rPr>
        <w:b w:val="0"/>
        <w:i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0211B3B"/>
    <w:multiLevelType w:val="multilevel"/>
    <w:tmpl w:val="AA5278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B08"/>
    <w:rsid w:val="000D7D38"/>
    <w:rsid w:val="00330A3D"/>
    <w:rsid w:val="003C3246"/>
    <w:rsid w:val="00460EFD"/>
    <w:rsid w:val="00542687"/>
    <w:rsid w:val="00590C89"/>
    <w:rsid w:val="006C37F1"/>
    <w:rsid w:val="00933074"/>
    <w:rsid w:val="00984B26"/>
    <w:rsid w:val="00AE0DEF"/>
    <w:rsid w:val="00B10B08"/>
    <w:rsid w:val="00BE7D82"/>
    <w:rsid w:val="00EC0385"/>
    <w:rsid w:val="00F84A9D"/>
    <w:rsid w:val="00FB359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4034CC-EFCA-41C6-8481-7FBADD9D1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uiPriority w:val="9"/>
    <w:qFormat/>
    <w:pPr>
      <w:keepNext/>
      <w:keepLines/>
      <w:spacing w:before="480" w:after="120"/>
      <w:outlineLvl w:val="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sz w:val="24"/>
      <w:szCs w:val="24"/>
    </w:rPr>
  </w:style>
  <w:style w:type="paragraph" w:styleId="Titolo5">
    <w:name w:val="heading 5"/>
    <w:basedOn w:val="Normale"/>
    <w:next w:val="Normale"/>
    <w:uiPriority w:val="9"/>
    <w:semiHidden/>
    <w:unhideWhenUsed/>
    <w:qFormat/>
    <w:pPr>
      <w:keepNext/>
      <w:keepLines/>
      <w:spacing w:before="220" w:after="40"/>
      <w:outlineLvl w:val="4"/>
    </w:pPr>
    <w:rPr>
      <w:b/>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Pidipagina">
    <w:name w:val="footer"/>
    <w:basedOn w:val="Normale"/>
    <w:link w:val="PidipaginaCarattere"/>
    <w:uiPriority w:val="99"/>
    <w:unhideWhenUsed/>
    <w:rsid w:val="00A8437C"/>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A8437C"/>
    <w:rPr>
      <w:lang w:val="it-IT"/>
    </w:rPr>
  </w:style>
  <w:style w:type="paragraph" w:styleId="Testonotaapidipagina">
    <w:name w:val="footnote text"/>
    <w:basedOn w:val="Normale"/>
    <w:link w:val="TestonotaapidipaginaCarattere"/>
    <w:uiPriority w:val="99"/>
    <w:semiHidden/>
    <w:unhideWhenUsed/>
    <w:rsid w:val="00A8437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A8437C"/>
    <w:rPr>
      <w:sz w:val="20"/>
      <w:szCs w:val="20"/>
      <w:lang w:val="it-IT"/>
    </w:rPr>
  </w:style>
  <w:style w:type="table" w:styleId="Grigliatabella">
    <w:name w:val="Table Grid"/>
    <w:basedOn w:val="Tabellanormale"/>
    <w:uiPriority w:val="99"/>
    <w:rsid w:val="00A8437C"/>
    <w:pPr>
      <w:spacing w:after="0" w:line="240" w:lineRule="auto"/>
    </w:pPr>
    <w:rPr>
      <w:rFonts w:ascii="Times New Roman" w:eastAsia="Times New Roman" w:hAnsi="Times New Roman" w:cs="Times New Roman"/>
      <w:sz w:val="20"/>
      <w:szCs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uiPriority w:val="99"/>
    <w:rsid w:val="00A8437C"/>
    <w:rPr>
      <w:vertAlign w:val="superscript"/>
    </w:rPr>
  </w:style>
  <w:style w:type="paragraph" w:styleId="Sottotitolo">
    <w:name w:val="Subtitle"/>
    <w:basedOn w:val="Normale"/>
    <w:next w:val="Normal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2"/>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Intestazione">
    <w:name w:val="header"/>
    <w:basedOn w:val="Normale"/>
    <w:link w:val="IntestazioneCarattere"/>
    <w:uiPriority w:val="99"/>
    <w:unhideWhenUsed/>
    <w:rsid w:val="00341CE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41CE8"/>
  </w:style>
  <w:style w:type="table" w:customStyle="1" w:styleId="ab">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78198">
      <w:bodyDiv w:val="1"/>
      <w:marLeft w:val="0"/>
      <w:marRight w:val="0"/>
      <w:marTop w:val="0"/>
      <w:marBottom w:val="0"/>
      <w:divBdr>
        <w:top w:val="none" w:sz="0" w:space="0" w:color="auto"/>
        <w:left w:val="none" w:sz="0" w:space="0" w:color="auto"/>
        <w:bottom w:val="none" w:sz="0" w:space="0" w:color="auto"/>
        <w:right w:val="none" w:sz="0" w:space="0" w:color="auto"/>
      </w:divBdr>
    </w:div>
    <w:div w:id="378171345">
      <w:bodyDiv w:val="1"/>
      <w:marLeft w:val="0"/>
      <w:marRight w:val="0"/>
      <w:marTop w:val="0"/>
      <w:marBottom w:val="0"/>
      <w:divBdr>
        <w:top w:val="none" w:sz="0" w:space="0" w:color="auto"/>
        <w:left w:val="none" w:sz="0" w:space="0" w:color="auto"/>
        <w:bottom w:val="none" w:sz="0" w:space="0" w:color="auto"/>
        <w:right w:val="none" w:sz="0" w:space="0" w:color="auto"/>
      </w:divBdr>
    </w:div>
    <w:div w:id="935332785">
      <w:bodyDiv w:val="1"/>
      <w:marLeft w:val="0"/>
      <w:marRight w:val="0"/>
      <w:marTop w:val="0"/>
      <w:marBottom w:val="0"/>
      <w:divBdr>
        <w:top w:val="none" w:sz="0" w:space="0" w:color="auto"/>
        <w:left w:val="none" w:sz="0" w:space="0" w:color="auto"/>
        <w:bottom w:val="none" w:sz="0" w:space="0" w:color="auto"/>
        <w:right w:val="none" w:sz="0" w:space="0" w:color="auto"/>
      </w:divBdr>
    </w:div>
    <w:div w:id="19986807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0k8naTS2tBw4jFMwLoX+Gctcog==">CgMxLjAyCGguZ2pkZ3hzMgloLjMwajB6bGw4AHIhMS0wYjZzQVk1RDFzWU5zZXZNUDVwYUhueXlxXzFEQzNk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1815</Words>
  <Characters>10348</Characters>
  <Application>Microsoft Office Word</Application>
  <DocSecurity>0</DocSecurity>
  <Lines>86</Lines>
  <Paragraphs>24</Paragraphs>
  <ScaleCrop>false</ScaleCrop>
  <Company/>
  <LinksUpToDate>false</LinksUpToDate>
  <CharactersWithSpaces>12139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Raffaella Riondino</dc:creator>
  <cp:lastModifiedBy>rosy.poerio</cp:lastModifiedBy>
  <cp:revision>8</cp:revision>
  <dcterms:created xsi:type="dcterms:W3CDTF">2023-11-03T12:15:00Z</dcterms:created>
  <dcterms:modified xsi:type="dcterms:W3CDTF">2025-03-25T10:56:00Z</dcterms:modified>
</cp:coreProperties>
</file>