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both"/>
        <w:rPr>
          <w:rFonts w:ascii="Titilium" w:hAnsi="Titilium" w:eastAsia="Titillium Web" w:cs="Titillium Web"/>
          <w:b/>
          <w:bCs/>
          <w:color w:val="000000"/>
          <w:sz w:val="21"/>
          <w:szCs w:val="21"/>
          <w:lang w:eastAsia="en-US"/>
        </w:rPr>
      </w:pPr>
      <w:r>
        <w:rPr>
          <w:rFonts w:ascii="Titilium" w:hAnsi="Titilium" w:eastAsia="Titillium Web" w:cs="Titillium Web"/>
          <w:b/>
          <w:bCs/>
          <w:color w:val="000000"/>
          <w:sz w:val="21"/>
          <w:szCs w:val="21"/>
          <w:lang w:eastAsia="en-US"/>
        </w:rPr>
      </w:r>
      <w:r>
        <w:rPr>
          <w:rFonts w:ascii="Titilium" w:hAnsi="Titilium" w:eastAsia="Titillium Web" w:cs="Titillium Web"/>
          <w:b/>
          <w:bCs/>
          <w:color w:val="000000"/>
          <w:sz w:val="21"/>
          <w:szCs w:val="21"/>
          <w:lang w:eastAsia="en-US"/>
        </w:rPr>
      </w:r>
    </w:p>
    <w:p>
      <w:pPr>
        <w:pBdr/>
        <w:spacing/>
        <w:ind/>
        <w:jc w:val="both"/>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The undersigned …………………………………………………………………………………………………….</w:t>
      </w:r>
      <w:r>
        <w:rPr>
          <w:rFonts w:ascii="Titilium" w:hAnsi="Titilium" w:eastAsia="Titilium" w:cs="Titilium"/>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born in the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Tax code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resident in ………………………………………………… ……</w:t>
      </w:r>
      <w:r>
        <w:rPr>
          <w:rFonts w:ascii="Titilium" w:hAnsi="Titilium" w:eastAsia="Titilium" w:cs="Titilium"/>
          <w:sz w:val="21"/>
          <w:szCs w:val="21"/>
        </w:rPr>
        <w:t xml:space="preserve">. .</w:t>
      </w:r>
      <w:r>
        <w:rPr>
          <w:rFonts w:ascii="Titilium" w:hAnsi="Titilium" w:eastAsia="Titilium" w:cs="Titilium"/>
          <w:sz w:val="21"/>
          <w:szCs w:val="21"/>
        </w:rPr>
        <w:t xml:space="preserve"> (………….) POSTAL CODE …………………… ……</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Street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bookmarkStart w:id="0" w:name="_heading=h.gjdgxs"/>
      <w:r/>
      <w:bookmarkEnd w:id="0"/>
      <w:r>
        <w:rPr>
          <w:rFonts w:ascii="Titilium" w:hAnsi="Titilium" w:eastAsia="Titilium" w:cs="Titilium"/>
          <w:sz w:val="21"/>
          <w:szCs w:val="21"/>
        </w:rPr>
        <w:t xml:space="preserve">domicile (if different from residence) ………………………………………………………………………….</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rFonts w:ascii="Titilium" w:hAnsi="Titilium" w:eastAsia="Titilium" w:cs="Titilium"/>
          <w:sz w:val="21"/>
          <w:szCs w:val="21"/>
        </w:rPr>
        <w:t xml:space="preserve">……………………………………………………………………………………………………………………..</w:t>
      </w:r>
      <w:r>
        <w:rPr>
          <w:rFonts w:ascii="Titilium" w:hAnsi="Titilium" w:eastAsia="Titilium" w:cs="Titilium"/>
          <w:sz w:val="21"/>
          <w:szCs w:val="21"/>
        </w:rPr>
      </w:r>
    </w:p>
    <w:p>
      <w:pPr>
        <w:pBdr/>
        <w:spacing w:after="120" w:before="120"/>
        <w:ind/>
        <w:jc w:val="both"/>
        <w:rPr>
          <w:rFonts w:ascii="Titilium" w:hAnsi="Titilium" w:eastAsia="Titilium" w:cs="Titilium"/>
          <w:sz w:val="21"/>
          <w:szCs w:val="21"/>
        </w:rPr>
      </w:pPr>
      <w:r>
        <w:rPr>
          <w:rFonts w:ascii="Titilium" w:hAnsi="Titilium" w:eastAsia="Titilium" w:cs="Titilium"/>
          <w:sz w:val="21"/>
          <w:szCs w:val="21"/>
        </w:rPr>
        <w:t xml:space="preserve">Valid </w:t>
      </w:r>
      <w:r>
        <w:rPr>
          <w:rFonts w:ascii="Titilium" w:hAnsi="Titilium" w:eastAsia="Titilium" w:cs="Titilium"/>
          <w:b/>
          <w:sz w:val="21"/>
          <w:szCs w:val="21"/>
        </w:rPr>
        <w:t xml:space="preserve">identity document </w:t>
      </w:r>
      <w:r>
        <w:rPr>
          <w:rFonts w:ascii="Titilium" w:hAnsi="Titilium" w:eastAsia="Titilium" w:cs="Titilium"/>
          <w:sz w:val="21"/>
          <w:szCs w:val="21"/>
        </w:rPr>
        <w:t xml:space="preserve">details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Identity </w:t>
      </w:r>
      <w:r>
        <w:rPr>
          <w:rFonts w:ascii="Cambria" w:hAnsi="Cambria" w:eastAsia="Cambria" w:cs="Cambria"/>
          <w:sz w:val="21"/>
          <w:szCs w:val="21"/>
        </w:rPr>
        <w:t xml:space="preserve">card</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firstLine="1" w:left="2"/>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Driving </w:t>
      </w:r>
      <w:r>
        <w:rPr>
          <w:rFonts w:ascii="Titilium" w:hAnsi="Titilium" w:eastAsia="Titilium" w:cs="Titilium"/>
          <w:sz w:val="21"/>
          <w:szCs w:val="21"/>
        </w:rPr>
        <w:t xml:space="preserve">licence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Passport</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Other (specify)_____________</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rFonts w:ascii="Titilium" w:hAnsi="Titilium" w:eastAsia="Titilium" w:cs="Titilium"/>
          <w:sz w:val="21"/>
          <w:szCs w:val="21"/>
        </w:rPr>
        <w:t xml:space="preserve">having number ………………………………………………………………………………………………………</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rFonts w:ascii="Titilium" w:hAnsi="Titilium" w:eastAsia="Titilium" w:cs="Titilium"/>
          <w:sz w:val="21"/>
          <w:szCs w:val="21"/>
        </w:rPr>
        <w:t xml:space="preserve">released …………………………… ……. ……. from …………………………………………………………….</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rFonts w:ascii="Titilium" w:hAnsi="Titilium" w:eastAsia="Titilium" w:cs="Titilium"/>
          <w:sz w:val="21"/>
          <w:szCs w:val="21"/>
        </w:rPr>
        <w:t xml:space="preserve">expiration …………………………………………………………………………………………………………….</w:t>
      </w:r>
      <w:r>
        <w:rPr>
          <w:rFonts w:ascii="Titilium" w:hAnsi="Titilium" w:eastAsia="Titilium" w:cs="Titilium"/>
          <w:sz w:val="21"/>
          <w:szCs w:val="21"/>
        </w:rPr>
      </w:r>
    </w:p>
    <w:p>
      <w:pPr>
        <w:pBdr/>
        <w:spacing w:line="360" w:lineRule="auto"/>
        <w:ind w:firstLine="1"/>
        <w:jc w:val="both"/>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360" w:lineRule="auto"/>
        <w:ind w:firstLine="1"/>
        <w:jc w:val="both"/>
        <w:rPr>
          <w:rFonts w:ascii="Titilium" w:hAnsi="Titilium" w:eastAsia="Titilium" w:cs="Titilium"/>
          <w:b/>
          <w:sz w:val="21"/>
          <w:szCs w:val="21"/>
        </w:rPr>
      </w:pPr>
      <w:r>
        <w:rPr>
          <w:rFonts w:ascii="Titilium" w:hAnsi="Titilium" w:eastAsia="Titilium" w:cs="Titilium"/>
          <w:b/>
          <w:sz w:val="21"/>
          <w:szCs w:val="21"/>
        </w:rPr>
        <w:t xml:space="preserve">as</w:t>
      </w:r>
      <w:r>
        <w:rPr>
          <w:rFonts w:ascii="Titilium" w:hAnsi="Titilium" w:eastAsia="Titilium" w:cs="Titilium"/>
          <w:b/>
          <w:sz w:val="21"/>
          <w:szCs w:val="21"/>
        </w:rP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b/>
          <w:color w:val="000000"/>
          <w:sz w:val="21"/>
          <w:szCs w:val="21"/>
        </w:rPr>
        <w:t xml:space="preserve">Sole proprietorship owner</w:t>
      </w:r>
      <w:r>
        <w:rPr>
          <w:rFonts w:ascii="Titilium" w:hAnsi="Titilium" w:eastAsia="Titilium" w:cs="Titilium"/>
          <w:color w:val="000000"/>
          <w:sz w:val="21"/>
          <w:szCs w:val="21"/>
        </w:rPr>
      </w:r>
    </w:p>
    <w:p>
      <w:pPr>
        <w:numPr>
          <w:ilvl w:val="0"/>
          <w:numId w:val="4"/>
        </w:num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b/>
          <w:color w:val="000000"/>
          <w:sz w:val="21"/>
          <w:szCs w:val="21"/>
        </w:rPr>
        <w:t xml:space="preserve">Legal representative of the company</w:t>
      </w:r>
      <w:r>
        <w:rPr>
          <w:rFonts w:ascii="Titilium" w:hAnsi="Titilium" w:eastAsia="Titilium" w:cs="Titilium"/>
          <w:color w:val="000000"/>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Business name …………………………………………………………………………………………… ……</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Registered office: Street …………………………………………………………………………………………… ……</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POSTAL CODE …… ……</w:t>
      </w:r>
      <w:r>
        <w:rPr>
          <w:rFonts w:ascii="Titilium" w:hAnsi="Titilium" w:eastAsia="Titilium" w:cs="Titilium"/>
          <w:sz w:val="21"/>
          <w:szCs w:val="21"/>
        </w:rPr>
        <w:t xml:space="preserve">. .</w:t>
      </w:r>
      <w:r>
        <w:rPr>
          <w:rFonts w:ascii="Titilium" w:hAnsi="Titilium" w:eastAsia="Titilium" w:cs="Titilium"/>
          <w:sz w:val="21"/>
          <w:szCs w:val="21"/>
        </w:rPr>
        <w:t xml:space="preserve"> </w:t>
      </w:r>
      <w:r>
        <w:rPr>
          <w:rFonts w:ascii="Titilium" w:hAnsi="Titilium" w:eastAsia="Titilium" w:cs="Titilium"/>
          <w:sz w:val="21"/>
          <w:szCs w:val="21"/>
        </w:rPr>
        <w:t xml:space="preserve">City</w:t>
      </w:r>
      <w:r>
        <w:rPr>
          <w:rFonts w:ascii="Titilium" w:hAnsi="Titilium" w:eastAsia="Titilium" w:cs="Titilium"/>
          <w:sz w:val="21"/>
          <w:szCs w:val="21"/>
        </w:rPr>
        <w:t xml:space="preserve"> ………………………………………. Province…………………………………….</w:t>
      </w:r>
      <w:r>
        <w:rPr>
          <w:rFonts w:ascii="Titilium" w:hAnsi="Titilium" w:eastAsia="Titilium" w:cs="Titilium"/>
          <w:sz w:val="21"/>
          <w:szCs w:val="21"/>
        </w:rPr>
      </w:r>
    </w:p>
    <w:p>
      <w:pPr>
        <w:pBdr/>
        <w:spacing w:line="360" w:lineRule="auto"/>
        <w:ind/>
        <w:rPr>
          <w:rFonts w:ascii="Titilium" w:hAnsi="Titilium" w:eastAsia="Titilium" w:cs="Titilium"/>
          <w:sz w:val="21"/>
          <w:szCs w:val="21"/>
        </w:rPr>
      </w:pPr>
      <w:r>
        <w:rPr>
          <w:rFonts w:ascii="Titilium" w:hAnsi="Titilium" w:eastAsia="Titilium" w:cs="Titilium"/>
          <w:sz w:val="21"/>
          <w:szCs w:val="21"/>
        </w:rPr>
        <w:t xml:space="preserve">Tax code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aware that, if the untruthfulness of the content of this declaration emerges, the r</w:t>
      </w:r>
      <w:r>
        <w:rPr>
          <w:rFonts w:ascii="Titilium" w:hAnsi="Titilium" w:eastAsia="Titilium" w:cs="Titilium"/>
          <w:sz w:val="21"/>
          <w:szCs w:val="21"/>
        </w:rPr>
        <w:t xml:space="preserve">ight, possibly granted, to the use of the benefits referred to in the Notice in question will be forfeited, without prejudice to the criminal sanctions established by article 76 of Presidential Decree 445/2000 for false attestations and false declarations,</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120" w:line="360" w:lineRule="auto"/>
        <w:ind/>
        <w:jc w:val="center"/>
        <w:rPr>
          <w:rFonts w:ascii="Titilium" w:hAnsi="Titilium" w:eastAsia="Titilium" w:cs="Titilium"/>
          <w:b/>
          <w:color w:val="000000"/>
          <w:sz w:val="21"/>
          <w:szCs w:val="21"/>
        </w:rPr>
      </w:pPr>
      <w:r>
        <w:rPr>
          <w:rFonts w:ascii="Titilium" w:hAnsi="Titilium" w:eastAsia="Titilium" w:cs="Titilium"/>
          <w:b/>
          <w:color w:val="000000"/>
          <w:sz w:val="21"/>
          <w:szCs w:val="21"/>
        </w:rPr>
        <w:t xml:space="preserve">DECLARE</w:t>
      </w:r>
      <w:r>
        <w:rPr>
          <w:rFonts w:ascii="Titilium" w:hAnsi="Titilium" w:eastAsia="Titilium" w:cs="Titilium"/>
          <w:b/>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color w:val="000000"/>
          <w:sz w:val="21"/>
          <w:szCs w:val="21"/>
          <w:u w:val="single"/>
        </w:rPr>
      </w:pPr>
      <w:r/>
      <w:bookmarkStart w:id="1" w:name="_heading=h.1fob9te"/>
      <w:r/>
      <w:bookmarkEnd w:id="1"/>
      <w:r>
        <w:rPr>
          <w:rFonts w:ascii="Titilium" w:hAnsi="Titilium" w:eastAsia="Titilium" w:cs="Titilium"/>
          <w:color w:val="000000"/>
          <w:sz w:val="21"/>
          <w:szCs w:val="21"/>
        </w:rPr>
        <w:t xml:space="preserve">in relation </w:t>
      </w:r>
      <w:r>
        <w:rPr>
          <w:rFonts w:ascii="Titilium" w:hAnsi="Titilium" w:eastAsia="Titilium" w:cs="Titilium"/>
          <w:sz w:val="21"/>
          <w:szCs w:val="21"/>
        </w:rPr>
        <w:t xml:space="preserve">to the assignment procedure in question, </w:t>
      </w:r>
      <w:r>
        <w:rPr>
          <w:rFonts w:ascii="Titilium" w:hAnsi="Titilium" w:eastAsia="Titilium" w:cs="Titilium"/>
          <w:b/>
          <w:color w:val="000000"/>
          <w:sz w:val="21"/>
          <w:szCs w:val="21"/>
          <w:u w:val="single"/>
        </w:rPr>
        <w:t xml:space="preserve">having read the instructions relating to the definition of "beneficial owner" and the related identification methods reported at the bottom of this declaration form:</w:t>
      </w:r>
      <w:r>
        <w:rPr>
          <w:rFonts w:ascii="Titilium" w:hAnsi="Titilium" w:eastAsia="Titilium" w:cs="Titilium"/>
          <w:b/>
          <w:color w:val="000000"/>
          <w:sz w:val="21"/>
          <w:szCs w:val="21"/>
          <w:u w:val="single"/>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before="120" w:line="360" w:lineRule="auto"/>
        <w:ind/>
        <w:jc w:val="both"/>
        <w:rPr>
          <w:rFonts w:ascii="Titilium" w:hAnsi="Titilium" w:eastAsia="Titilium" w:cs="Titilium"/>
          <w:b/>
          <w:i/>
          <w:color w:val="000000"/>
          <w:sz w:val="21"/>
          <w:szCs w:val="21"/>
        </w:rPr>
      </w:pPr>
      <w:r/>
      <w:bookmarkStart w:id="2" w:name="_heading=h.30j0zll"/>
      <w:r/>
      <w:bookmarkEnd w:id="2"/>
      <w:r>
        <w:rPr>
          <w:rFonts w:ascii="Titilium" w:hAnsi="Titilium" w:eastAsia="Titilium" w:cs="Titilium"/>
          <w:b/>
          <w:i/>
          <w:color w:val="000000"/>
          <w:sz w:val="21"/>
          <w:szCs w:val="21"/>
        </w:rPr>
        <w:t xml:space="preserve">Option 1)</w:t>
      </w:r>
      <w:r>
        <w:rPr>
          <w:rFonts w:ascii="Titilium" w:hAnsi="Titilium" w:eastAsia="Titilium" w:cs="Titilium"/>
          <w:b/>
          <w:i/>
          <w:color w:val="000000"/>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to be the </w:t>
      </w:r>
      <w:r>
        <w:rPr>
          <w:rFonts w:ascii="Cambria" w:hAnsi="Cambria" w:eastAsia="Cambria" w:cs="Cambria"/>
          <w:sz w:val="21"/>
          <w:szCs w:val="21"/>
        </w:rPr>
        <w:t xml:space="preserve">sole </w:t>
      </w:r>
      <w:r>
        <w:rPr>
          <w:rFonts w:ascii="Titilium" w:hAnsi="Titilium" w:eastAsia="Titilium" w:cs="Titilium"/>
          <w:sz w:val="21"/>
          <w:szCs w:val="21"/>
        </w:rPr>
        <w:t xml:space="preserve">beneficial owner of </w:t>
      </w:r>
      <w:r>
        <w:rPr>
          <w:rFonts w:ascii="Cambria" w:hAnsi="Cambria" w:eastAsia="Cambria" w:cs="Cambria"/>
          <w:sz w:val="21"/>
          <w:szCs w:val="21"/>
        </w:rPr>
        <w:t xml:space="preserve">the </w:t>
      </w:r>
      <w:r>
        <w:rPr>
          <w:rFonts w:ascii="Titilium" w:hAnsi="Titilium" w:eastAsia="Titilium" w:cs="Titilium"/>
          <w:sz w:val="21"/>
          <w:szCs w:val="21"/>
        </w:rPr>
        <w:t xml:space="preserve">company indicated </w:t>
      </w:r>
      <w:r>
        <w:rPr>
          <w:rFonts w:ascii="Titilium" w:hAnsi="Titilium" w:eastAsia="Titilium" w:cs="Titilium"/>
          <w:sz w:val="21"/>
          <w:szCs w:val="21"/>
        </w:rPr>
        <w:t xml:space="preserve">above;</w:t>
      </w:r>
      <w:r>
        <w:rPr>
          <w:rFonts w:ascii="Titilium" w:hAnsi="Titilium" w:eastAsia="Titilium" w:cs="Titilium"/>
          <w:sz w:val="21"/>
          <w:szCs w:val="21"/>
        </w:rPr>
      </w:r>
    </w:p>
    <w:p>
      <w:pPr>
        <w:pBdr/>
        <w:spacing w:line="360" w:lineRule="auto"/>
        <w:ind/>
        <w:jc w:val="center"/>
        <w:rPr>
          <w:rFonts w:ascii="Titilium" w:hAnsi="Titilium" w:eastAsia="Titilium" w:cs="Titilium"/>
          <w:strike/>
          <w:sz w:val="21"/>
          <w:szCs w:val="21"/>
        </w:rPr>
      </w:pPr>
      <w:r>
        <w:rPr>
          <w:rFonts w:ascii="Titilium" w:hAnsi="Titilium" w:eastAsia="Titilium" w:cs="Titilium"/>
          <w:strike/>
          <w:sz w:val="21"/>
          <w:szCs w:val="21"/>
        </w:rPr>
        <w:t xml:space="preserve">___________________________________</w:t>
      </w:r>
      <w:r>
        <w:rPr>
          <w:rFonts w:ascii="Titilium" w:hAnsi="Titilium" w:eastAsia="Titilium" w:cs="Titilium"/>
          <w:strike/>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i/>
          <w:color w:val="000000"/>
          <w:sz w:val="21"/>
          <w:szCs w:val="21"/>
        </w:rPr>
      </w:pPr>
      <w:r>
        <w:rPr>
          <w:rFonts w:ascii="Titilium" w:hAnsi="Titilium" w:eastAsia="Titilium" w:cs="Titilium"/>
          <w:b/>
          <w:i/>
          <w:color w:val="000000"/>
          <w:sz w:val="21"/>
          <w:szCs w:val="21"/>
        </w:rPr>
        <w:t xml:space="preserve">Option 2)</w:t>
      </w:r>
      <w:r>
        <w:rPr>
          <w:rFonts w:ascii="Titilium" w:hAnsi="Titilium" w:eastAsia="Titilium" w:cs="Titilium"/>
          <w:b/>
          <w:i/>
          <w:color w:val="000000"/>
          <w:sz w:val="21"/>
          <w:szCs w:val="21"/>
        </w:rPr>
      </w:r>
    </w:p>
    <w:p>
      <w:pPr>
        <w:pBdr/>
        <w:spacing w:after="120"/>
        <w:ind w:hanging="284" w:left="284"/>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to be the beneficial owner of </w:t>
      </w:r>
      <w:r>
        <w:rPr>
          <w:rFonts w:ascii="Cambria" w:hAnsi="Cambria" w:eastAsia="Cambria" w:cs="Cambria"/>
          <w:sz w:val="21"/>
          <w:szCs w:val="21"/>
        </w:rPr>
        <w:t xml:space="preserve">the </w:t>
      </w:r>
      <w:r>
        <w:rPr>
          <w:rFonts w:ascii="Titilium" w:hAnsi="Titilium" w:eastAsia="Titilium" w:cs="Titilium"/>
          <w:sz w:val="21"/>
          <w:szCs w:val="21"/>
        </w:rPr>
        <w:t xml:space="preserve">company together with:</w:t>
      </w:r>
      <w:r>
        <w:rPr>
          <w:rFonts w:ascii="Titilium" w:hAnsi="Titilium" w:eastAsia="Titilium" w:cs="Titilium"/>
          <w:sz w:val="21"/>
          <w:szCs w:val="21"/>
        </w:rPr>
      </w:r>
    </w:p>
    <w:p>
      <w:pPr>
        <w:pBdr/>
        <w:spacing w:after="240"/>
        <w:ind w:hanging="284" w:left="284"/>
        <w:jc w:val="center"/>
        <w:rPr>
          <w:rFonts w:ascii="Titilium" w:hAnsi="Titilium" w:eastAsia="Titilium" w:cs="Titilium"/>
          <w:sz w:val="21"/>
          <w:szCs w:val="21"/>
        </w:rPr>
      </w:pPr>
      <w:r>
        <w:rPr>
          <w:rFonts w:ascii="Titilium" w:hAnsi="Titilium" w:eastAsia="Titilium" w:cs="Titilium"/>
          <w:sz w:val="21"/>
          <w:szCs w:val="21"/>
        </w:rPr>
        <w:t xml:space="preserve">( </w:t>
      </w:r>
      <w:r>
        <w:rPr>
          <w:rFonts w:ascii="Titilium" w:hAnsi="Titilium" w:eastAsia="Titilium" w:cs="Titilium"/>
          <w:b/>
          <w:i/>
          <w:sz w:val="21"/>
          <w:szCs w:val="21"/>
          <w:u w:val="single"/>
        </w:rPr>
        <w:t xml:space="preserve">repeat</w:t>
      </w:r>
      <w:r>
        <w:rPr>
          <w:rFonts w:ascii="Titilium" w:hAnsi="Titilium" w:eastAsia="Titilium" w:cs="Titilium"/>
          <w:b/>
          <w:i/>
          <w:sz w:val="21"/>
          <w:szCs w:val="21"/>
          <w:u w:val="single"/>
        </w:rPr>
        <w:t xml:space="preserve"> the information below for each natural person identified as beneficial </w:t>
      </w:r>
      <w:r>
        <w:rPr>
          <w:rFonts w:ascii="Titilium" w:hAnsi="Titilium" w:eastAsia="Titilium" w:cs="Titilium"/>
          <w:b/>
          <w:i/>
          <w:sz w:val="21"/>
          <w:szCs w:val="21"/>
          <w:u w:val="single"/>
        </w:rPr>
        <w:t xml:space="preserve">owner </w:t>
      </w:r>
      <w:r>
        <w:rPr>
          <w:rFonts w:ascii="Titilium" w:hAnsi="Titilium" w:eastAsia="Titilium" w:cs="Titilium"/>
          <w:sz w:val="21"/>
          <w:szCs w:val="21"/>
        </w:rPr>
        <w:t xml:space="preserv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Surname …………………………… ……. …………. First name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born in …………………………………………. (______) The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Tax code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resident in ………………………………………… (______) Postcode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Street …………………………………………………………………………………………………………… ……</w:t>
      </w:r>
      <w:r>
        <w:rPr>
          <w:rFonts w:ascii="Titilium" w:hAnsi="Titilium" w:eastAsia="Titilium" w:cs="Titilium"/>
          <w:sz w:val="21"/>
          <w:szCs w:val="21"/>
        </w:rPr>
        <w:t xml:space="preserve">. .</w:t>
      </w:r>
      <w:r>
        <w:rPr>
          <w:rFonts w:ascii="Titilium" w:hAnsi="Titilium" w:eastAsia="Titilium" w:cs="Titilium"/>
          <w:sz w:val="21"/>
          <w:szCs w:val="21"/>
        </w:rPr>
        <w:t xml:space="preserve"> domicile (if different from residence) ………………………………………………………………………….</w:t>
      </w:r>
      <w:r>
        <w:rPr>
          <w:rFonts w:ascii="Titilium" w:hAnsi="Titilium" w:eastAsia="Titilium" w:cs="Titilium"/>
          <w:sz w:val="21"/>
          <w:szCs w:val="21"/>
        </w:rPr>
      </w:r>
    </w:p>
    <w:p>
      <w:pPr>
        <w:pBdr/>
        <w:spacing w:after="120"/>
        <w:ind/>
        <w:jc w:val="both"/>
        <w:rPr>
          <w:rFonts w:ascii="Titilium" w:hAnsi="Titilium" w:eastAsia="Titilium" w:cs="Titilium"/>
          <w:sz w:val="21"/>
          <w:szCs w:val="21"/>
        </w:rPr>
      </w:pPr>
      <w:r>
        <w:rPr>
          <w:rFonts w:ascii="Titilium" w:hAnsi="Titilium" w:eastAsia="Titilium" w:cs="Titilium"/>
          <w:sz w:val="21"/>
          <w:szCs w:val="21"/>
        </w:rPr>
        <w:t xml:space="preserve">……………………………………………………………………………………………………………………..</w:t>
      </w:r>
      <w:r>
        <w:rPr>
          <w:rFonts w:ascii="Titilium" w:hAnsi="Titilium" w:eastAsia="Titilium" w:cs="Titilium"/>
          <w:sz w:val="21"/>
          <w:szCs w:val="21"/>
        </w:rPr>
      </w:r>
    </w:p>
    <w:p>
      <w:pPr>
        <w:pBdr/>
        <w:spacing w:after="120" w:before="120"/>
        <w:ind/>
        <w:jc w:val="both"/>
        <w:rPr>
          <w:rFonts w:ascii="Titilium" w:hAnsi="Titilium" w:eastAsia="Titilium" w:cs="Titilium"/>
          <w:sz w:val="21"/>
          <w:szCs w:val="21"/>
        </w:rPr>
      </w:pPr>
      <w:r>
        <w:rPr>
          <w:rFonts w:ascii="Titilium" w:hAnsi="Titilium" w:eastAsia="Titilium" w:cs="Titilium"/>
          <w:sz w:val="21"/>
          <w:szCs w:val="21"/>
        </w:rPr>
        <w:t xml:space="preserve">Valid </w:t>
      </w:r>
      <w:r>
        <w:rPr>
          <w:rFonts w:ascii="Titilium" w:hAnsi="Titilium" w:eastAsia="Titilium" w:cs="Titilium"/>
          <w:b/>
          <w:sz w:val="21"/>
          <w:szCs w:val="21"/>
        </w:rPr>
        <w:t xml:space="preserve">identity document </w:t>
      </w:r>
      <w:r>
        <w:rPr>
          <w:rFonts w:ascii="Titilium" w:hAnsi="Titilium" w:eastAsia="Titilium" w:cs="Titilium"/>
          <w:sz w:val="21"/>
          <w:szCs w:val="21"/>
        </w:rPr>
        <w:t xml:space="preserve">details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Identity </w:t>
      </w:r>
      <w:r>
        <w:rPr>
          <w:rFonts w:ascii="Cambria" w:hAnsi="Cambria" w:eastAsia="Cambria" w:cs="Cambria"/>
          <w:sz w:val="21"/>
          <w:szCs w:val="21"/>
        </w:rPr>
        <w:t xml:space="preserve">card</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firstLine="1" w:left="2"/>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Driving </w:t>
      </w:r>
      <w:r>
        <w:rPr>
          <w:rFonts w:ascii="Titilium" w:hAnsi="Titilium" w:eastAsia="Titilium" w:cs="Titilium"/>
          <w:sz w:val="21"/>
          <w:szCs w:val="21"/>
        </w:rPr>
        <w:t xml:space="preserve">licence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Passport</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Other (specify) _____________</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having number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released …………………………………………. from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expiration ……………………………… ……. …………………………………….………………………………..</w:t>
      </w:r>
      <w:r>
        <w:rPr>
          <w:rFonts w:ascii="Titilium" w:hAnsi="Titilium" w:eastAsia="Titilium" w:cs="Titilium"/>
          <w:sz w:val="21"/>
          <w:szCs w:val="21"/>
        </w:rPr>
      </w:r>
    </w:p>
    <w:p>
      <w:pPr>
        <w:pBdr/>
        <w:spacing w:before="120" w:line="360" w:lineRule="auto"/>
        <w:ind/>
        <w:jc w:val="center"/>
        <w:rPr>
          <w:rFonts w:ascii="Titilium" w:hAnsi="Titilium" w:eastAsia="Titilium" w:cs="Titilium"/>
          <w:strike/>
          <w:sz w:val="21"/>
          <w:szCs w:val="21"/>
        </w:rPr>
      </w:pPr>
      <w:r>
        <w:rPr>
          <w:rFonts w:ascii="Titilium" w:hAnsi="Titilium" w:eastAsia="Titilium" w:cs="Titilium"/>
          <w:strike/>
          <w:sz w:val="21"/>
          <w:szCs w:val="21"/>
        </w:rPr>
        <w:t xml:space="preserve">___________________________________</w:t>
      </w:r>
      <w:r>
        <w:rPr>
          <w:rFonts w:ascii="Titilium" w:hAnsi="Titilium" w:eastAsia="Titilium" w:cs="Titilium"/>
          <w:strike/>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i/>
          <w:color w:val="000000"/>
          <w:sz w:val="21"/>
          <w:szCs w:val="21"/>
        </w:rPr>
      </w:pPr>
      <w:r>
        <w:rPr>
          <w:rFonts w:ascii="Titilium" w:hAnsi="Titilium" w:eastAsia="Titilium" w:cs="Titilium"/>
          <w:b/>
          <w:i/>
          <w:color w:val="000000"/>
          <w:sz w:val="21"/>
          <w:szCs w:val="21"/>
        </w:rPr>
        <w:t xml:space="preserve">Option 3)</w:t>
      </w:r>
      <w:r>
        <w:rPr>
          <w:rFonts w:ascii="Titilium" w:hAnsi="Titilium" w:eastAsia="Titilium" w:cs="Titilium"/>
          <w:b/>
          <w:i/>
          <w:color w:val="000000"/>
          <w:sz w:val="21"/>
          <w:szCs w:val="21"/>
        </w:rPr>
      </w:r>
    </w:p>
    <w:p>
      <w:pPr>
        <w:pBdr/>
        <w:spacing w:after="60"/>
        <w:ind w:hanging="284" w:left="284"/>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that you are not the beneficial owner</w:t>
      </w:r>
      <w:r>
        <w:rPr>
          <w:rFonts w:ascii="Titilium" w:hAnsi="Titilium" w:eastAsia="Titilium" w:cs="Titilium"/>
          <w:sz w:val="21"/>
          <w:szCs w:val="21"/>
        </w:rPr>
      </w:r>
    </w:p>
    <w:p>
      <w:pPr>
        <w:pBdr/>
        <w:spacing w:after="120"/>
        <w:ind w:left="284"/>
        <w:jc w:val="both"/>
        <w:rPr>
          <w:rFonts w:ascii="Titilium" w:hAnsi="Titilium" w:eastAsia="Titilium" w:cs="Titilium"/>
          <w:sz w:val="21"/>
          <w:szCs w:val="21"/>
        </w:rPr>
      </w:pPr>
      <w:r>
        <w:rPr>
          <w:rFonts w:ascii="Titilium" w:hAnsi="Titilium" w:eastAsia="Titilium" w:cs="Titilium"/>
          <w:sz w:val="21"/>
          <w:szCs w:val="21"/>
        </w:rPr>
        <w:t xml:space="preserve">The beneficial owner of the company is indicated below:</w:t>
      </w:r>
      <w:r>
        <w:rPr>
          <w:rFonts w:ascii="Titilium" w:hAnsi="Titilium" w:eastAsia="Titilium" w:cs="Titilium"/>
          <w:sz w:val="21"/>
          <w:szCs w:val="21"/>
        </w:rPr>
      </w:r>
    </w:p>
    <w:p>
      <w:pPr>
        <w:pBdr/>
        <w:spacing w:after="240"/>
        <w:ind/>
        <w:jc w:val="center"/>
        <w:rPr>
          <w:rFonts w:ascii="Titilium" w:hAnsi="Titilium" w:eastAsia="Titilium" w:cs="Titilium"/>
          <w:sz w:val="21"/>
          <w:szCs w:val="21"/>
        </w:rPr>
      </w:pPr>
      <w:r>
        <w:rPr>
          <w:rFonts w:ascii="Titilium" w:hAnsi="Titilium" w:eastAsia="Titilium" w:cs="Titilium"/>
          <w:sz w:val="21"/>
          <w:szCs w:val="21"/>
        </w:rPr>
        <w:t xml:space="preserve">( </w:t>
      </w:r>
      <w:r>
        <w:rPr>
          <w:rFonts w:ascii="Titilium" w:hAnsi="Titilium" w:eastAsia="Titilium" w:cs="Titilium"/>
          <w:b/>
          <w:i/>
          <w:sz w:val="21"/>
          <w:szCs w:val="21"/>
          <w:u w:val="single"/>
        </w:rPr>
        <w:t xml:space="preserve">repeat</w:t>
      </w:r>
      <w:r>
        <w:rPr>
          <w:rFonts w:ascii="Titilium" w:hAnsi="Titilium" w:eastAsia="Titilium" w:cs="Titilium"/>
          <w:b/>
          <w:i/>
          <w:sz w:val="21"/>
          <w:szCs w:val="21"/>
          <w:u w:val="single"/>
        </w:rPr>
        <w:t xml:space="preserve"> the information below for each natural person identified as beneficial </w:t>
      </w:r>
      <w:r>
        <w:rPr>
          <w:rFonts w:ascii="Titilium" w:hAnsi="Titilium" w:eastAsia="Titilium" w:cs="Titilium"/>
          <w:b/>
          <w:i/>
          <w:sz w:val="21"/>
          <w:szCs w:val="21"/>
          <w:u w:val="single"/>
        </w:rPr>
        <w:t xml:space="preserve">owner </w:t>
      </w:r>
      <w:r>
        <w:rPr>
          <w:rFonts w:ascii="Titilium" w:hAnsi="Titilium" w:eastAsia="Titilium" w:cs="Titilium"/>
          <w:i/>
          <w:sz w:val="21"/>
          <w:szCs w:val="21"/>
        </w:rPr>
        <w:t xml:space="preserv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Surname …………………………… ……. …………. First name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born in …………………………………………. (______) The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Tax code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resident in ………………………………………… (______) Postcode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Street …………………………………………………………………………………………………………… ……</w:t>
      </w:r>
      <w:r>
        <w:rPr>
          <w:rFonts w:ascii="Titilium" w:hAnsi="Titilium" w:eastAsia="Titilium" w:cs="Titilium"/>
          <w:sz w:val="21"/>
          <w:szCs w:val="21"/>
        </w:rPr>
        <w:t xml:space="preserve">. .</w:t>
      </w:r>
      <w:r>
        <w:rPr>
          <w:rFonts w:ascii="Titilium" w:hAnsi="Titilium" w:eastAsia="Titilium" w:cs="Titilium"/>
          <w:sz w:val="21"/>
          <w:szCs w:val="21"/>
        </w:rPr>
        <w:t xml:space="preserve"> domicile (if different from residence) ………………………………………………………………………….</w:t>
      </w:r>
      <w:r>
        <w:rPr>
          <w:rFonts w:ascii="Titilium" w:hAnsi="Titilium" w:eastAsia="Titilium" w:cs="Titilium"/>
          <w:sz w:val="21"/>
          <w:szCs w:val="21"/>
        </w:rPr>
      </w:r>
    </w:p>
    <w:p>
      <w:pPr>
        <w:pBdr/>
        <w:spacing w:after="120"/>
        <w:ind/>
        <w:jc w:val="both"/>
        <w:rPr>
          <w:rFonts w:ascii="Titilium" w:hAnsi="Titilium" w:eastAsia="Titilium" w:cs="Titilium"/>
          <w:sz w:val="21"/>
          <w:szCs w:val="21"/>
        </w:rPr>
      </w:pPr>
      <w:r>
        <w:rPr>
          <w:rFonts w:ascii="Titilium" w:hAnsi="Titilium" w:eastAsia="Titilium" w:cs="Titilium"/>
          <w:sz w:val="21"/>
          <w:szCs w:val="21"/>
        </w:rPr>
        <w:t xml:space="preserve">……………………………………………………………………………………………………………………..</w:t>
      </w:r>
      <w:r>
        <w:rPr>
          <w:rFonts w:ascii="Titilium" w:hAnsi="Titilium" w:eastAsia="Titilium" w:cs="Titilium"/>
          <w:sz w:val="21"/>
          <w:szCs w:val="21"/>
        </w:rPr>
      </w:r>
    </w:p>
    <w:p>
      <w:pPr>
        <w:pBdr/>
        <w:spacing w:after="120" w:before="120"/>
        <w:ind/>
        <w:jc w:val="both"/>
        <w:rPr>
          <w:rFonts w:ascii="Titilium" w:hAnsi="Titilium" w:eastAsia="Titilium" w:cs="Titilium"/>
          <w:sz w:val="21"/>
          <w:szCs w:val="21"/>
        </w:rPr>
      </w:pPr>
      <w:r>
        <w:rPr>
          <w:rFonts w:ascii="Titilium" w:hAnsi="Titilium" w:eastAsia="Titilium" w:cs="Titilium"/>
          <w:sz w:val="21"/>
          <w:szCs w:val="21"/>
        </w:rPr>
        <w:t xml:space="preserve">Valid </w:t>
      </w:r>
      <w:r>
        <w:rPr>
          <w:rFonts w:ascii="Titilium" w:hAnsi="Titilium" w:eastAsia="Titilium" w:cs="Titilium"/>
          <w:b/>
          <w:sz w:val="21"/>
          <w:szCs w:val="21"/>
        </w:rPr>
        <w:t xml:space="preserve">identity document </w:t>
      </w:r>
      <w:r>
        <w:rPr>
          <w:rFonts w:ascii="Titilium" w:hAnsi="Titilium" w:eastAsia="Titilium" w:cs="Titilium"/>
          <w:sz w:val="21"/>
          <w:szCs w:val="21"/>
        </w:rPr>
        <w:t xml:space="preserve">details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Identity </w:t>
      </w:r>
      <w:r>
        <w:rPr>
          <w:rFonts w:ascii="Cambria" w:hAnsi="Cambria" w:eastAsia="Cambria" w:cs="Cambria"/>
          <w:sz w:val="21"/>
          <w:szCs w:val="21"/>
        </w:rPr>
        <w:t xml:space="preserve">card</w:t>
      </w:r>
      <w:r>
        <w:rPr>
          <w:rFonts w:ascii="Titilium" w:hAnsi="Titilium" w:eastAsia="Titilium" w:cs="Titilium"/>
          <w:sz w:val="21"/>
          <w:szCs w:val="21"/>
        </w:rPr>
        <w:t xml:space="preserve"> </w:t>
      </w:r>
      <w:r>
        <w:rPr>
          <w:rFonts w:ascii="Titilium" w:hAnsi="Titilium" w:eastAsia="Titilium" w:cs="Titilium"/>
          <w:sz w:val="21"/>
          <w:szCs w:val="21"/>
        </w:rPr>
      </w:r>
    </w:p>
    <w:p>
      <w:pPr>
        <w:pBdr/>
        <w:spacing w:line="360" w:lineRule="auto"/>
        <w:ind w:firstLine="1" w:left="2"/>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Driving </w:t>
      </w:r>
      <w:r>
        <w:rPr>
          <w:rFonts w:ascii="Titilium" w:hAnsi="Titilium" w:eastAsia="Titilium" w:cs="Titilium"/>
          <w:sz w:val="21"/>
          <w:szCs w:val="21"/>
        </w:rPr>
        <w:t xml:space="preserve">licence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Passport</w:t>
      </w:r>
      <w:r>
        <w:rPr>
          <w:rFonts w:ascii="Titilium" w:hAnsi="Titilium" w:eastAsia="Titilium" w:cs="Titilium"/>
          <w:sz w:val="21"/>
          <w:szCs w:val="21"/>
        </w:rPr>
      </w:r>
    </w:p>
    <w:p>
      <w:pPr>
        <w:pBdr/>
        <w:spacing w:after="120" w:line="360" w:lineRule="auto"/>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Other (specify) _____________</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having number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released …………………………………………. from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expiration ……………………………… ……. …………………………………….………………………………..</w:t>
      </w:r>
      <w:r>
        <w:rPr>
          <w:rFonts w:ascii="Titilium" w:hAnsi="Titilium" w:eastAsia="Titilium" w:cs="Titilium"/>
          <w:sz w:val="21"/>
          <w:szCs w:val="21"/>
        </w:rPr>
      </w:r>
    </w:p>
    <w:p>
      <w:pPr>
        <w:pBdr/>
        <w:spacing w:before="120" w:line="360" w:lineRule="auto"/>
        <w:ind/>
        <w:jc w:val="center"/>
        <w:rPr>
          <w:rFonts w:ascii="Titilium" w:hAnsi="Titilium" w:eastAsia="Titilium" w:cs="Titilium"/>
          <w:strike/>
          <w:sz w:val="21"/>
          <w:szCs w:val="21"/>
        </w:rPr>
      </w:pPr>
      <w:r>
        <w:rPr>
          <w:rFonts w:ascii="Titilium" w:hAnsi="Titilium" w:eastAsia="Titilium" w:cs="Titilium"/>
          <w:strike/>
          <w:sz w:val="21"/>
          <w:szCs w:val="21"/>
        </w:rPr>
        <w:t xml:space="preserve">___________________________________</w:t>
      </w:r>
      <w:r>
        <w:rPr>
          <w:rFonts w:ascii="Titilium" w:hAnsi="Titilium" w:eastAsia="Titilium" w:cs="Titilium"/>
          <w:strike/>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i/>
          <w:color w:val="000000"/>
          <w:sz w:val="21"/>
          <w:szCs w:val="21"/>
        </w:rPr>
      </w:pPr>
      <w:r>
        <w:rPr>
          <w:rFonts w:ascii="Titilium" w:hAnsi="Titilium" w:eastAsia="Titilium" w:cs="Titilium"/>
          <w:b/>
          <w:i/>
          <w:color w:val="000000"/>
          <w:sz w:val="21"/>
          <w:szCs w:val="21"/>
        </w:rPr>
      </w:r>
      <w:r>
        <w:rPr>
          <w:rFonts w:ascii="Titilium" w:hAnsi="Titilium" w:eastAsia="Titilium" w:cs="Titilium"/>
          <w:b/>
          <w:i/>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i/>
          <w:color w:val="000000"/>
          <w:sz w:val="21"/>
          <w:szCs w:val="21"/>
        </w:rPr>
      </w:pPr>
      <w:r>
        <w:rPr>
          <w:rFonts w:ascii="Titilium" w:hAnsi="Titilium" w:eastAsia="Titilium" w:cs="Titilium"/>
          <w:b/>
          <w:i/>
          <w:color w:val="000000"/>
          <w:sz w:val="21"/>
          <w:szCs w:val="21"/>
        </w:rPr>
        <w:t xml:space="preserve">Option 4)</w:t>
      </w:r>
      <w:r>
        <w:rPr>
          <w:rFonts w:ascii="Titilium" w:hAnsi="Titilium" w:eastAsia="Titilium" w:cs="Titilium"/>
          <w:b/>
          <w:i/>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b/>
          <w:i/>
          <w:color w:val="000000"/>
          <w:sz w:val="21"/>
          <w:szCs w:val="21"/>
        </w:rPr>
      </w:pPr>
      <w:r>
        <w:rPr>
          <w:rFonts w:ascii="Titilium" w:hAnsi="Titilium" w:eastAsia="Titilium" w:cs="Titilium"/>
          <w:b/>
          <w:color w:val="000000"/>
          <w:sz w:val="21"/>
          <w:szCs w:val="21"/>
        </w:rPr>
        <w:t xml:space="preserve">(</w:t>
      </w:r>
      <w:r>
        <w:rPr>
          <w:rFonts w:ascii="Titilium" w:hAnsi="Titilium" w:eastAsia="Titilium" w:cs="Titilium"/>
          <w:b/>
          <w:i/>
          <w:color w:val="000000"/>
          <w:sz w:val="21"/>
          <w:szCs w:val="21"/>
          <w:u w:val="single"/>
        </w:rPr>
        <w:t xml:space="preserve">ATTENTION: this choice is reserved only for cases in which there is an absence of control or significant shareholdings in the company</w:t>
      </w:r>
      <w:r>
        <w:rPr>
          <w:rFonts w:ascii="Titilium" w:hAnsi="Titilium" w:eastAsia="Titilium" w:cs="Titilium"/>
          <w:b/>
          <w:color w:val="000000"/>
          <w:sz w:val="21"/>
          <w:szCs w:val="21"/>
        </w:rPr>
        <w:t xml:space="preserve">)</w:t>
      </w:r>
      <w:r>
        <w:rPr>
          <w:rFonts w:ascii="Titilium" w:hAnsi="Titilium" w:eastAsia="Titilium" w:cs="Titilium"/>
          <w:b/>
          <w:i/>
          <w:color w:val="000000"/>
          <w:sz w:val="21"/>
          <w:szCs w:val="21"/>
        </w:rPr>
      </w:r>
    </w:p>
    <w:p>
      <w:pPr>
        <w:pBdr/>
        <w:spacing/>
        <w:ind w:hanging="142" w:left="142"/>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that there is no beneficial owner of </w:t>
      </w:r>
      <w:r>
        <w:rPr>
          <w:rFonts w:ascii="Cambria" w:hAnsi="Cambria" w:eastAsia="Cambria" w:cs="Cambria"/>
          <w:sz w:val="21"/>
          <w:szCs w:val="21"/>
        </w:rPr>
        <w:t xml:space="preserve">the </w:t>
      </w:r>
      <w:r>
        <w:rPr>
          <w:rFonts w:ascii="Titilium" w:hAnsi="Titilium" w:eastAsia="Titilium" w:cs="Titilium"/>
          <w:sz w:val="21"/>
          <w:szCs w:val="21"/>
        </w:rPr>
        <w:t xml:space="preserve">company since (specify the reason: listed company/company with widespread ownership/ </w:t>
      </w:r>
      <w:r>
        <w:rPr>
          <w:rFonts w:ascii="Titilium" w:hAnsi="Titilium" w:eastAsia="Titilium" w:cs="Titilium"/>
          <w:sz w:val="21"/>
          <w:szCs w:val="21"/>
        </w:rPr>
        <w:t xml:space="preserve">etc</w:t>
      </w:r>
      <w:r>
        <w:rPr>
          <w:rFonts w:ascii="Titilium" w:hAnsi="Titilium" w:eastAsia="Titilium" w:cs="Titilium"/>
          <w:sz w:val="21"/>
          <w:szCs w:val="21"/>
        </w:rPr>
        <w:t xml:space="preserve"> ) ………………………………………………………… ………………………………………………………...…………………………………………………………………… …………………………………………….</w:t>
      </w:r>
      <w:r>
        <w:rPr>
          <w:rFonts w:ascii="Titilium" w:hAnsi="Titilium" w:eastAsia="Titilium" w:cs="Titilium"/>
          <w:sz w:val="21"/>
          <w:szCs w:val="21"/>
        </w:rPr>
      </w:r>
    </w:p>
    <w:p>
      <w:pPr>
        <w:pBdr/>
        <w:spacing w:before="120" w:line="360" w:lineRule="auto"/>
        <w:ind w:left="284"/>
        <w:jc w:val="both"/>
        <w:rPr>
          <w:rFonts w:ascii="Titilium" w:hAnsi="Titilium" w:eastAsia="Titilium" w:cs="Titilium"/>
          <w:sz w:val="21"/>
          <w:szCs w:val="21"/>
        </w:rPr>
      </w:pPr>
      <w:r>
        <w:rPr>
          <w:rFonts w:ascii="Titilium" w:hAnsi="Titilium" w:eastAsia="Titilium" w:cs="Titilium"/>
          <w:sz w:val="21"/>
          <w:szCs w:val="21"/>
        </w:rPr>
        <w:t xml:space="preserve">for which the beneficial owners are identified as the </w:t>
      </w:r>
      <w:r>
        <w:rPr>
          <w:rFonts w:ascii="Titilium" w:hAnsi="Titilium" w:eastAsia="Titilium" w:cs="Titilium"/>
          <w:b/>
          <w:sz w:val="21"/>
          <w:szCs w:val="21"/>
        </w:rPr>
        <w:t xml:space="preserve">natural persons holding administrative or management powers of the company </w:t>
      </w:r>
      <w:r>
        <w:rPr>
          <w:rFonts w:ascii="Titilium" w:hAnsi="Titilium" w:eastAsia="Titilium" w:cs="Titilium"/>
          <w:sz w:val="21"/>
          <w:szCs w:val="21"/>
        </w:rPr>
        <w:t xml:space="preserve">indicated below:</w:t>
      </w:r>
      <w:r>
        <w:rPr>
          <w:rFonts w:ascii="Titilium" w:hAnsi="Titilium" w:eastAsia="Titilium" w:cs="Titilium"/>
          <w:sz w:val="21"/>
          <w:szCs w:val="21"/>
        </w:rPr>
      </w:r>
    </w:p>
    <w:p>
      <w:pPr>
        <w:pBdr/>
        <w:spacing w:after="240" w:before="120"/>
        <w:ind w:left="284"/>
        <w:jc w:val="both"/>
        <w:rPr>
          <w:rFonts w:ascii="Titilium" w:hAnsi="Titilium" w:eastAsia="Titilium" w:cs="Titilium"/>
          <w:sz w:val="21"/>
          <w:szCs w:val="21"/>
        </w:rPr>
      </w:pPr>
      <w:r>
        <w:rPr>
          <w:rFonts w:ascii="Titilium" w:hAnsi="Titilium" w:eastAsia="Titilium" w:cs="Titilium"/>
          <w:sz w:val="21"/>
          <w:szCs w:val="21"/>
        </w:rPr>
        <w:t xml:space="preserve">(</w:t>
      </w:r>
      <w:r>
        <w:rPr>
          <w:rFonts w:ascii="Titilium" w:hAnsi="Titilium" w:eastAsia="Titilium" w:cs="Titilium"/>
          <w:i/>
          <w:sz w:val="21"/>
          <w:szCs w:val="21"/>
          <w:u w:val="single"/>
        </w:rPr>
        <w:t xml:space="preserve">repeat the information below for each natural person identified as beneficial owner, including the declarant where the latter can be identified as beneficial owner due to the absence of control or significant shareholdings</w:t>
      </w:r>
      <w:r>
        <w:rPr>
          <w:rFonts w:ascii="Titilium" w:hAnsi="Titilium" w:eastAsia="Titilium" w:cs="Titilium"/>
          <w:sz w:val="21"/>
          <w:szCs w:val="21"/>
        </w:rPr>
        <w:t xml:space="preserv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Surname …………………………… ……. …………. First name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born in …………………………………………. (______) The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Tax code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resident in ………………………………………… (______) Postcode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street……………………………………………………………………………………………………………………... domicile (if other than residence) …………………………………………………………………………….</w:t>
      </w:r>
      <w:r>
        <w:rPr>
          <w:rFonts w:ascii="Titilium" w:hAnsi="Titilium" w:eastAsia="Titilium" w:cs="Titilium"/>
          <w:sz w:val="21"/>
          <w:szCs w:val="21"/>
        </w:rPr>
      </w:r>
    </w:p>
    <w:p>
      <w:pPr>
        <w:pBdr/>
        <w:spacing w:after="120"/>
        <w:ind/>
        <w:jc w:val="both"/>
        <w:rPr>
          <w:rFonts w:ascii="Titilium" w:hAnsi="Titilium" w:eastAsia="Titilium" w:cs="Titilium"/>
          <w:sz w:val="21"/>
          <w:szCs w:val="21"/>
        </w:rPr>
      </w:pPr>
      <w:r>
        <w:rPr>
          <w:rFonts w:ascii="Titilium" w:hAnsi="Titilium" w:eastAsia="Titilium" w:cs="Titilium"/>
          <w:sz w:val="21"/>
          <w:szCs w:val="21"/>
        </w:rPr>
        <w:t xml:space="preserve">……………………………………………………………………………………………………………………..</w:t>
      </w:r>
      <w:r>
        <w:rPr>
          <w:rFonts w:ascii="Titilium" w:hAnsi="Titilium" w:eastAsia="Titilium" w:cs="Titilium"/>
          <w:sz w:val="21"/>
          <w:szCs w:val="21"/>
        </w:rPr>
      </w:r>
    </w:p>
    <w:p>
      <w:pPr>
        <w:pBdr/>
        <w:spacing w:after="120" w:before="120"/>
        <w:ind/>
        <w:jc w:val="both"/>
        <w:rPr>
          <w:rFonts w:ascii="Titilium" w:hAnsi="Titilium" w:eastAsia="Titilium" w:cs="Titilium"/>
          <w:sz w:val="21"/>
          <w:szCs w:val="21"/>
        </w:rPr>
      </w:pPr>
      <w:r>
        <w:rPr>
          <w:rFonts w:ascii="Titilium" w:hAnsi="Titilium" w:eastAsia="Titilium" w:cs="Titilium"/>
          <w:sz w:val="21"/>
          <w:szCs w:val="21"/>
        </w:rPr>
        <w:t xml:space="preserve">Valid </w:t>
      </w:r>
      <w:r>
        <w:rPr>
          <w:rFonts w:ascii="Titilium" w:hAnsi="Titilium" w:eastAsia="Titilium" w:cs="Titilium"/>
          <w:b/>
          <w:sz w:val="21"/>
          <w:szCs w:val="21"/>
        </w:rPr>
        <w:t xml:space="preserve">identity document </w:t>
      </w:r>
      <w:r>
        <w:rPr>
          <w:rFonts w:ascii="Titilium" w:hAnsi="Titilium" w:eastAsia="Titilium" w:cs="Titilium"/>
          <w:sz w:val="21"/>
          <w:szCs w:val="21"/>
        </w:rPr>
        <w:t xml:space="preserve">details :</w:t>
      </w:r>
      <w:r>
        <w:rPr>
          <w:rFonts w:ascii="Titilium" w:hAnsi="Titilium" w:eastAsia="Titilium" w:cs="Titilium"/>
          <w:sz w:val="21"/>
          <w:szCs w:val="21"/>
        </w:rPr>
      </w:r>
    </w:p>
    <w:p>
      <w:pPr>
        <w:pBdr/>
        <w:spacing w:after="120"/>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Identity </w:t>
      </w:r>
      <w:r>
        <w:rPr>
          <w:rFonts w:ascii="Cambria" w:hAnsi="Cambria" w:eastAsia="Cambria" w:cs="Cambria"/>
          <w:sz w:val="21"/>
          <w:szCs w:val="21"/>
        </w:rPr>
        <w:t xml:space="preserve">card</w:t>
      </w:r>
      <w:r>
        <w:rPr>
          <w:rFonts w:ascii="Titilium" w:hAnsi="Titilium" w:eastAsia="Titilium" w:cs="Titilium"/>
          <w:sz w:val="21"/>
          <w:szCs w:val="21"/>
        </w:rPr>
        <w:t xml:space="preserve"> </w:t>
      </w:r>
      <w:r>
        <w:rPr>
          <w:rFonts w:ascii="Titilium" w:hAnsi="Titilium" w:eastAsia="Titilium" w:cs="Titilium"/>
          <w:sz w:val="21"/>
          <w:szCs w:val="21"/>
        </w:rPr>
      </w:r>
    </w:p>
    <w:p>
      <w:pPr>
        <w:pBdr/>
        <w:spacing w:after="120"/>
        <w:ind w:firstLine="1" w:left="2"/>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Driving </w:t>
      </w:r>
      <w:r>
        <w:rPr>
          <w:rFonts w:ascii="Titilium" w:hAnsi="Titilium" w:eastAsia="Titilium" w:cs="Titilium"/>
          <w:sz w:val="21"/>
          <w:szCs w:val="21"/>
        </w:rPr>
        <w:t xml:space="preserve">licence</w:t>
      </w:r>
      <w:r>
        <w:rPr>
          <w:rFonts w:ascii="Titilium" w:hAnsi="Titilium" w:eastAsia="Titilium" w:cs="Titilium"/>
          <w:sz w:val="21"/>
          <w:szCs w:val="21"/>
        </w:rPr>
      </w:r>
    </w:p>
    <w:p>
      <w:pPr>
        <w:pBdr/>
        <w:spacing w:after="120"/>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Passport</w:t>
      </w:r>
      <w:r>
        <w:rPr>
          <w:rFonts w:ascii="Titilium" w:hAnsi="Titilium" w:eastAsia="Titilium" w:cs="Titilium"/>
          <w:sz w:val="21"/>
          <w:szCs w:val="21"/>
        </w:rPr>
      </w:r>
    </w:p>
    <w:p>
      <w:pPr>
        <w:pBdr/>
        <w:spacing w:after="240"/>
        <w:ind/>
        <w:jc w:val="both"/>
        <w:rPr>
          <w:rFonts w:ascii="Titilium" w:hAnsi="Titilium" w:eastAsia="Titilium" w:cs="Titilium"/>
          <w:sz w:val="21"/>
          <w:szCs w:val="21"/>
        </w:rPr>
      </w:pPr>
      <w:r>
        <w:rPr>
          <w:sz w:val="21"/>
          <w:szCs w:val="21"/>
        </w:rPr>
        <w:t xml:space="preserve">□ </w:t>
      </w:r>
      <w:r>
        <w:rPr>
          <w:rFonts w:ascii="Titilium" w:hAnsi="Titilium" w:eastAsia="Titilium" w:cs="Titilium"/>
          <w:sz w:val="21"/>
          <w:szCs w:val="21"/>
        </w:rPr>
        <w:t xml:space="preserve">Other (specify) </w:t>
      </w:r>
      <w:r>
        <w:rPr>
          <w:rFonts w:ascii="Cambria" w:hAnsi="Cambria" w:eastAsia="Cambria" w:cs="Cambria"/>
          <w:sz w:val="21"/>
          <w:szCs w:val="21"/>
        </w:rPr>
        <w:t xml:space="preserve">……………………</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having number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released …………………………………………. from ……………………………………………… ……. …….</w:t>
      </w:r>
      <w:r>
        <w:rPr>
          <w:rFonts w:ascii="Titilium" w:hAnsi="Titilium" w:eastAsia="Titilium" w:cs="Titilium"/>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expiration ……………………………… ……. …………………………………….………………………………..</w:t>
      </w:r>
      <w:r>
        <w:rPr>
          <w:rFonts w:ascii="Titilium" w:hAnsi="Titilium" w:eastAsia="Titilium" w:cs="Titilium"/>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The undersigned declares that those interested in </w:t>
      </w:r>
      <w:r>
        <w:rPr>
          <w:rFonts w:ascii="Titilium" w:hAnsi="Titilium" w:eastAsia="Titilium" w:cs="Titilium"/>
          <w:color w:val="000000"/>
          <w:sz w:val="21"/>
          <w:szCs w:val="21"/>
        </w:rPr>
        <w:t xml:space="preserve">the processing</w:t>
      </w:r>
      <w:r>
        <w:rPr>
          <w:rFonts w:ascii="Titilium" w:hAnsi="Titilium" w:eastAsia="Titilium" w:cs="Titilium"/>
          <w:color w:val="000000"/>
          <w:sz w:val="21"/>
          <w:szCs w:val="21"/>
        </w:rPr>
        <w:t xml:space="preserve"> have read the information issued by the Data Controller pursuant to articles. 13 and 14 of </w:t>
      </w:r>
      <w:r>
        <w:rPr>
          <w:rFonts w:ascii="Titilium" w:hAnsi="Titilium" w:eastAsia="Titilium" w:cs="Titilium"/>
          <w:color w:val="000000"/>
          <w:sz w:val="21"/>
          <w:szCs w:val="21"/>
        </w:rPr>
        <w:t xml:space="preserve">Regulation (EU) 679/2016 – GDPR – published in the section dedicated to the facilitation measure on the institutional website of the Ministry and to be informed that the personal data provided are prescribed as necessary by the provisions in force for the </w:t>
      </w:r>
      <w:r>
        <w:rPr>
          <w:rFonts w:ascii="Titilium" w:hAnsi="Titilium" w:eastAsia="Titilium" w:cs="Titilium"/>
          <w:color w:val="000000"/>
          <w:sz w:val="21"/>
          <w:szCs w:val="21"/>
        </w:rPr>
        <w:t xml:space="preserve">purposes of investigating the procedure here initiated and which will be processed for this purpose, including with IT tools. Failure to provide personal data will not allow the investigation to continue. Any interested party, pursuant to articles. 15 and </w:t>
      </w:r>
      <w:r>
        <w:rPr>
          <w:rFonts w:ascii="Titilium" w:hAnsi="Titilium" w:eastAsia="Titilium" w:cs="Titilium"/>
          <w:color w:val="000000"/>
          <w:sz w:val="21"/>
          <w:szCs w:val="21"/>
        </w:rPr>
        <w:t xml:space="preserve">following of</w:t>
      </w:r>
      <w:r>
        <w:rPr>
          <w:rFonts w:ascii="Titilium" w:hAnsi="Titilium" w:eastAsia="Titilium" w:cs="Titilium"/>
          <w:color w:val="000000"/>
          <w:sz w:val="21"/>
          <w:szCs w:val="21"/>
        </w:rPr>
        <w:t xml:space="preserve"> the GDPR, you may make requests to exercise your rights according to the methods indicated in the aforementioned information.</w:t>
      </w:r>
      <w:r>
        <w:rPr>
          <w:rFonts w:ascii="Titilium" w:hAnsi="Titilium" w:eastAsia="Titilium" w:cs="Titilium"/>
          <w:color w:val="000000"/>
          <w:sz w:val="21"/>
          <w:szCs w:val="21"/>
        </w:rPr>
      </w:r>
    </w:p>
    <w:p>
      <w:pPr>
        <w:pBdr/>
        <w:spacing w:line="360" w:lineRule="auto"/>
        <w:ind/>
        <w:jc w:val="both"/>
        <w:rPr>
          <w:rFonts w:ascii="Titilium" w:hAnsi="Titilium" w:eastAsia="Titilium" w:cs="Titilium"/>
          <w:sz w:val="21"/>
          <w:szCs w:val="21"/>
        </w:rPr>
      </w:pPr>
      <w:r>
        <w:rPr>
          <w:rFonts w:ascii="Titilium" w:hAnsi="Titilium" w:eastAsia="Titilium" w:cs="Titilium"/>
          <w:sz w:val="21"/>
          <w:szCs w:val="21"/>
        </w:rPr>
        <w:t xml:space="preserve">With reference to all the subjects indicated above, the following is attached:</w:t>
      </w:r>
      <w:r>
        <w:rPr>
          <w:rFonts w:ascii="Titilium" w:hAnsi="Titilium" w:eastAsia="Titilium" w:cs="Titilium"/>
          <w:sz w:val="21"/>
          <w:szCs w:val="21"/>
        </w:rPr>
      </w:r>
    </w:p>
    <w:p>
      <w:pPr>
        <w:numPr>
          <w:ilvl w:val="0"/>
          <w:numId w:val="3"/>
        </w:numPr>
        <w:pBdr/>
        <w:spacing w:after="120" w:before="120"/>
        <w:ind w:hanging="142" w:left="284"/>
        <w:jc w:val="both"/>
        <w:rPr>
          <w:rFonts w:ascii="Titilium" w:hAnsi="Titilium" w:eastAsia="Titilium" w:cs="Titilium"/>
          <w:sz w:val="21"/>
          <w:szCs w:val="21"/>
        </w:rPr>
      </w:pPr>
      <w:r>
        <w:rPr>
          <w:rFonts w:ascii="Titilium" w:hAnsi="Titilium" w:eastAsia="Titilium" w:cs="Titilium"/>
          <w:sz w:val="21"/>
          <w:szCs w:val="21"/>
        </w:rPr>
        <w:t xml:space="preserve"> </w:t>
      </w:r>
      <w:r>
        <w:rPr>
          <w:rFonts w:ascii="Titilium" w:hAnsi="Titilium" w:eastAsia="Titilium" w:cs="Titilium"/>
          <w:b/>
          <w:sz w:val="21"/>
          <w:szCs w:val="21"/>
        </w:rPr>
        <w:t xml:space="preserve">copy of identity documents</w:t>
      </w:r>
      <w:r>
        <w:rPr>
          <w:rFonts w:ascii="Titilium" w:hAnsi="Titilium" w:eastAsia="Titilium" w:cs="Titilium"/>
          <w:sz w:val="21"/>
          <w:szCs w:val="21"/>
        </w:rPr>
        <w:t xml:space="preserve"> </w:t>
      </w:r>
      <w:r>
        <w:rPr>
          <w:rFonts w:ascii="Titilium" w:hAnsi="Titilium" w:eastAsia="Titilium" w:cs="Titilium"/>
          <w:b/>
          <w:sz w:val="21"/>
          <w:szCs w:val="21"/>
        </w:rPr>
        <w:t xml:space="preserve">of the legal representative and beneficial owners, </w:t>
      </w:r>
      <w:r>
        <w:rPr>
          <w:rFonts w:ascii="Titilium" w:hAnsi="Titilium" w:eastAsia="Titilium" w:cs="Titilium"/>
          <w:sz w:val="21"/>
          <w:szCs w:val="21"/>
        </w:rPr>
        <w:t xml:space="preserve">whose details have been reported in this </w:t>
      </w:r>
      <w:r>
        <w:rPr>
          <w:rFonts w:ascii="Titilium" w:hAnsi="Titilium" w:eastAsia="Titilium" w:cs="Titilium"/>
          <w:sz w:val="21"/>
          <w:szCs w:val="21"/>
        </w:rPr>
        <w:t xml:space="preserve">declaration;</w:t>
      </w:r>
      <w:r>
        <w:rPr>
          <w:rFonts w:ascii="Titilium" w:hAnsi="Titilium" w:eastAsia="Titilium" w:cs="Titilium"/>
          <w:sz w:val="21"/>
          <w:szCs w:val="21"/>
        </w:rPr>
      </w:r>
    </w:p>
    <w:p>
      <w:pPr>
        <w:numPr>
          <w:ilvl w:val="0"/>
          <w:numId w:val="3"/>
        </w:numPr>
        <w:pBdr/>
        <w:spacing w:before="120"/>
        <w:ind w:hanging="142" w:left="284"/>
        <w:jc w:val="both"/>
        <w:rPr>
          <w:rFonts w:ascii="Titilium" w:hAnsi="Titilium" w:eastAsia="Titilium" w:cs="Titilium"/>
          <w:sz w:val="21"/>
          <w:szCs w:val="21"/>
        </w:rPr>
      </w:pPr>
      <w:r>
        <w:rPr>
          <w:rFonts w:ascii="Titilium" w:hAnsi="Titilium" w:eastAsia="Titilium" w:cs="Titilium"/>
          <w:sz w:val="21"/>
          <w:szCs w:val="21"/>
        </w:rPr>
        <w:t xml:space="preserve"> </w:t>
      </w:r>
      <w:r>
        <w:rPr>
          <w:rFonts w:ascii="Titilium" w:hAnsi="Titilium" w:eastAsia="Titilium" w:cs="Titilium"/>
          <w:b/>
          <w:sz w:val="21"/>
          <w:szCs w:val="21"/>
        </w:rPr>
        <w:t xml:space="preserve">copy of the documents (health card, electronic identity card) certifying the issue of the tax code</w:t>
      </w:r>
      <w:r>
        <w:rPr>
          <w:rFonts w:ascii="Titilium" w:hAnsi="Titilium" w:eastAsia="Titilium" w:cs="Titilium"/>
          <w:sz w:val="21"/>
          <w:szCs w:val="21"/>
        </w:rPr>
        <w:t xml:space="preserve"> </w:t>
      </w:r>
      <w:r>
        <w:rPr>
          <w:rFonts w:ascii="Titilium" w:hAnsi="Titilium" w:eastAsia="Titilium" w:cs="Titilium"/>
          <w:b/>
          <w:sz w:val="21"/>
          <w:szCs w:val="21"/>
        </w:rPr>
        <w:t xml:space="preserve">of the legal representative and beneficial </w:t>
      </w:r>
      <w:r>
        <w:rPr>
          <w:rFonts w:ascii="Titilium" w:hAnsi="Titilium" w:eastAsia="Titilium" w:cs="Titilium"/>
          <w:b/>
          <w:sz w:val="21"/>
          <w:szCs w:val="21"/>
        </w:rPr>
        <w:t xml:space="preserve">owners </w:t>
      </w:r>
      <w:r>
        <w:rPr>
          <w:rFonts w:ascii="Titilium" w:hAnsi="Titilium" w:eastAsia="Titilium" w:cs="Titilium"/>
          <w:sz w:val="21"/>
          <w:szCs w:val="21"/>
        </w:rPr>
        <w:t xml:space="preserve">.</w:t>
      </w:r>
      <w:r>
        <w:rPr>
          <w:rFonts w:ascii="Titilium" w:hAnsi="Titilium" w:eastAsia="Titilium" w:cs="Titilium"/>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Place and date _____________</w:t>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t xml:space="preserve">   </w:t>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r>
      <w:r>
        <w:rPr>
          <w:rFonts w:ascii="Titilium" w:hAnsi="Titilium" w:eastAsia="Titilium" w:cs="Titilium"/>
          <w:color w:val="000000"/>
          <w:sz w:val="21"/>
          <w:szCs w:val="21"/>
        </w:rPr>
        <w:tab/>
        <w:t xml:space="preserve">                                                                                          </w:t>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36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120"/>
        <w:ind w:left="4992"/>
        <w:jc w:val="center"/>
        <w:rPr>
          <w:rFonts w:ascii="Titilium" w:hAnsi="Titilium" w:eastAsia="Titilium" w:cs="Titilium"/>
          <w:color w:val="000000"/>
          <w:sz w:val="21"/>
          <w:szCs w:val="21"/>
        </w:rPr>
      </w:pPr>
      <w:r>
        <w:rPr>
          <w:rFonts w:ascii="Titilium" w:hAnsi="Titilium" w:eastAsia="Titilium" w:cs="Titilium"/>
          <w:color w:val="000000"/>
          <w:sz w:val="21"/>
          <w:szCs w:val="21"/>
        </w:rPr>
        <w:t xml:space="preserve">The legal representative</w:t>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tbl>
      <w:tblPr>
        <w:tblStyle w:val="819"/>
        <w:tblpPr w:horzAnchor="margin" w:tblpXSpec="left" w:vertAnchor="text" w:tblpY="-780" w:leftFromText="141" w:topFromText="0" w:rightFromText="141" w:bottomFromText="0"/>
        <w:tblW w:w="8995"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Look w:val="0400" w:firstRow="0" w:lastRow="0" w:firstColumn="0" w:lastColumn="0" w:noHBand="0" w:noVBand="1"/>
      </w:tblPr>
      <w:tblGrid>
        <w:gridCol w:w="8995"/>
      </w:tblGrid>
      <w:tr>
        <w:trPr/>
        <w:tc>
          <w:tcPr>
            <w:tcBorders/>
            <w:tcW w:w="8995" w:type="dxa"/>
            <w:textDirection w:val="lrTb"/>
            <w:noWrap w:val="false"/>
          </w:tcPr>
          <w:p>
            <w:pPr>
              <w:pBdr/>
              <w:spacing w:after="240" w:before="240" w:line="280" w:lineRule="auto"/>
              <w:ind w:right="261" w:left="176"/>
              <w:jc w:val="both"/>
              <w:rPr>
                <w:rFonts w:ascii="Titilium" w:hAnsi="Titilium" w:eastAsia="Titilium" w:cs="Titilium"/>
                <w:b/>
                <w:color w:val="333333"/>
                <w:sz w:val="21"/>
                <w:szCs w:val="21"/>
              </w:rPr>
            </w:pPr>
            <w:r>
              <w:rPr>
                <w:rFonts w:ascii="Titilium" w:hAnsi="Titilium" w:eastAsia="Titilium" w:cs="Titilium"/>
                <w:b/>
                <w:color w:val="333333"/>
                <w:sz w:val="21"/>
                <w:szCs w:val="21"/>
              </w:rPr>
              <w:t xml:space="preserve">NB: This form, duly completed, must be transformed into PDF for the purpose of signing with a digital signature. Alternatively, the form can be signed with a handwritten signature and scanned into PDF.</w:t>
            </w:r>
            <w:r>
              <w:rPr>
                <w:rFonts w:ascii="Titilium" w:hAnsi="Titilium" w:eastAsia="Titilium" w:cs="Titilium"/>
                <w:b/>
                <w:color w:val="333333"/>
                <w:sz w:val="21"/>
                <w:szCs w:val="21"/>
              </w:rPr>
            </w:r>
          </w:p>
        </w:tc>
      </w:tr>
    </w:tbl>
    <w:p>
      <w:pPr>
        <w:pBdr/>
        <w:tabs>
          <w:tab w:val="right" w:leader="none" w:pos="9025"/>
        </w:tabs>
        <w:spacing w:after="120" w:line="252" w:lineRule="auto"/>
        <w:ind/>
        <w:rPr>
          <w:rFonts w:ascii="Titilium" w:hAnsi="Titilium" w:eastAsia="Titilium" w:cs="Titilium"/>
          <w:b/>
          <w:color w:val="000000"/>
          <w:sz w:val="21"/>
          <w:szCs w:val="21"/>
        </w:rPr>
      </w:pPr>
      <w:r>
        <w:rPr>
          <w:rFonts w:ascii="Titilium" w:hAnsi="Titilium" w:eastAsia="Titilium" w:cs="Titilium"/>
          <w:b/>
          <w:color w:val="000000"/>
          <w:sz w:val="21"/>
          <w:szCs w:val="21"/>
        </w:rPr>
      </w:r>
      <w:r>
        <w:rPr>
          <w:rFonts w:ascii="Titilium" w:hAnsi="Titilium" w:eastAsia="Titilium" w:cs="Titilium"/>
          <w:b/>
          <w:color w:val="000000"/>
          <w:sz w:val="21"/>
          <w:szCs w:val="21"/>
        </w:rPr>
      </w:r>
    </w:p>
    <w:tbl>
      <w:tblPr>
        <w:tblStyle w:val="820"/>
        <w:tblW w:w="8979" w:type="dxa"/>
        <w:tblInd w:w="0"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Look w:val="0400" w:firstRow="0" w:lastRow="0" w:firstColumn="0" w:lastColumn="0" w:noHBand="0" w:noVBand="1"/>
      </w:tblPr>
      <w:tblGrid>
        <w:gridCol w:w="8979"/>
      </w:tblGrid>
      <w:tr>
        <w:trPr/>
        <w:tc>
          <w:tcPr>
            <w:tcBorders/>
            <w:tcW w:w="8979" w:type="dxa"/>
            <w:textDirection w:val="lrTb"/>
            <w:noWrap w:val="false"/>
          </w:tcPr>
          <w:p>
            <w:pPr>
              <w:pBdr/>
              <w:spacing w:line="36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360" w:lineRule="auto"/>
              <w:ind/>
              <w:jc w:val="center"/>
              <w:rPr>
                <w:rFonts w:ascii="Titilium" w:hAnsi="Titilium" w:eastAsia="Titilium" w:cs="Titilium"/>
                <w:b/>
                <w:sz w:val="21"/>
                <w:szCs w:val="21"/>
              </w:rPr>
            </w:pPr>
            <w:r>
              <w:rPr>
                <w:rFonts w:ascii="Titilium" w:hAnsi="Titilium" w:eastAsia="Titilium" w:cs="Titilium"/>
                <w:b/>
                <w:sz w:val="21"/>
                <w:szCs w:val="21"/>
              </w:rPr>
              <w:t xml:space="preserve">INSTRUCTIONS FOR </w:t>
            </w:r>
            <w:r>
              <w:rPr>
                <w:rFonts w:ascii="Titilium" w:hAnsi="Titilium" w:eastAsia="Titilium" w:cs="Titilium"/>
                <w:b/>
                <w:sz w:val="21"/>
                <w:szCs w:val="21"/>
              </w:rPr>
              <w:t xml:space="preserve">IDENTIFICATION</w:t>
            </w:r>
            <w:r>
              <w:rPr>
                <w:rFonts w:ascii="Titilium" w:hAnsi="Titilium" w:eastAsia="Titilium" w:cs="Titilium"/>
                <w:b/>
                <w:sz w:val="21"/>
                <w:szCs w:val="21"/>
              </w:rPr>
              <w:t xml:space="preserve"> OF THE BENEFICIAL OWNER</w:t>
            </w:r>
            <w:r>
              <w:rPr>
                <w:rFonts w:ascii="Titilium" w:hAnsi="Titilium" w:eastAsia="Titilium" w:cs="Titilium"/>
                <w:b/>
                <w:sz w:val="21"/>
                <w:szCs w:val="21"/>
              </w:rPr>
            </w:r>
          </w:p>
          <w:p>
            <w:pPr>
              <w:pBdr/>
              <w:spacing w:line="36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200" w:line="276" w:lineRule="auto"/>
              <w:ind w:hanging="284" w:left="284"/>
              <w:rPr>
                <w:rFonts w:ascii="Titilium" w:hAnsi="Titilium" w:eastAsia="Titilium" w:cs="Titilium"/>
                <w:b/>
                <w:color w:val="000000"/>
                <w:sz w:val="21"/>
                <w:szCs w:val="21"/>
              </w:rPr>
            </w:pPr>
            <w:r>
              <w:rPr>
                <w:rFonts w:ascii="Titilium" w:hAnsi="Titilium" w:eastAsia="Titilium" w:cs="Titilium"/>
                <w:b/>
                <w:color w:val="000000"/>
                <w:sz w:val="21"/>
                <w:szCs w:val="21"/>
              </w:rPr>
              <w:t xml:space="preserve">REFERENCE REGULATION</w:t>
            </w:r>
            <w:r>
              <w:rPr>
                <w:rFonts w:ascii="Titilium" w:hAnsi="Titilium" w:eastAsia="Titilium" w:cs="Titilium"/>
                <w:b/>
                <w:color w:val="000000"/>
                <w:sz w:val="21"/>
                <w:szCs w:val="21"/>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According to the Anti-Money Laundering Regulations (Legislative Decree 21 November 2007 no. 231), </w:t>
            </w:r>
            <w:r>
              <w:rPr>
                <w:rFonts w:ascii="Titilium" w:hAnsi="Titilium" w:eastAsia="Titilium" w:cs="Titilium"/>
                <w:b/>
                <w:sz w:val="21"/>
                <w:szCs w:val="21"/>
              </w:rPr>
              <w:t xml:space="preserve">the beneficial owner is the natural person on whose behalf an operation or activity is carried </w:t>
            </w:r>
            <w:r>
              <w:rPr>
                <w:rFonts w:ascii="Titilium" w:hAnsi="Titilium" w:eastAsia="Titilium" w:cs="Titilium"/>
                <w:b/>
                <w:sz w:val="21"/>
                <w:szCs w:val="21"/>
              </w:rPr>
              <w:t xml:space="preserve">out </w:t>
            </w:r>
            <w:r>
              <w:rPr>
                <w:rFonts w:ascii="Titilium" w:hAnsi="Titilium" w:eastAsia="Titilium" w:cs="Titilium"/>
                <w:sz w:val="21"/>
                <w:szCs w:val="21"/>
              </w:rPr>
              <w:t xml:space="preserve">.</w:t>
            </w:r>
            <w:r>
              <w:rPr>
                <w:rFonts w:ascii="Titilium" w:hAnsi="Titilium" w:eastAsia="Titilium" w:cs="Titilium"/>
                <w:sz w:val="21"/>
                <w:szCs w:val="21"/>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In the case of a </w:t>
            </w:r>
            <w:r>
              <w:rPr>
                <w:rFonts w:ascii="Titilium" w:hAnsi="Titilium" w:eastAsia="Titilium" w:cs="Titilium"/>
                <w:b/>
                <w:sz w:val="21"/>
                <w:szCs w:val="21"/>
              </w:rPr>
              <w:t xml:space="preserve">legal </w:t>
            </w:r>
            <w:r>
              <w:rPr>
                <w:rFonts w:ascii="Titilium" w:hAnsi="Titilium" w:eastAsia="Titilium" w:cs="Titilium"/>
                <w:b/>
                <w:sz w:val="21"/>
                <w:szCs w:val="21"/>
              </w:rPr>
              <w:t xml:space="preserve">entity </w:t>
            </w:r>
            <w:r>
              <w:rPr>
                <w:rFonts w:ascii="Titilium" w:hAnsi="Titilium" w:eastAsia="Titilium" w:cs="Titilium"/>
                <w:sz w:val="21"/>
                <w:szCs w:val="21"/>
              </w:rPr>
              <w:t xml:space="preserve">,</w:t>
            </w:r>
            <w:r>
              <w:rPr>
                <w:rFonts w:ascii="Titilium" w:hAnsi="Titilium" w:eastAsia="Titilium" w:cs="Titilium"/>
                <w:sz w:val="21"/>
                <w:szCs w:val="21"/>
              </w:rPr>
              <w:t xml:space="preserve"> it is that </w:t>
            </w:r>
            <w:r>
              <w:rPr>
                <w:rFonts w:ascii="Titilium" w:hAnsi="Titilium" w:eastAsia="Titilium" w:cs="Titilium"/>
                <w:b/>
                <w:sz w:val="21"/>
                <w:szCs w:val="21"/>
              </w:rPr>
              <w:t xml:space="preserve">natural person </w:t>
            </w:r>
            <w:r>
              <w:rPr>
                <w:rFonts w:ascii="Titilium" w:hAnsi="Titilium" w:eastAsia="Titilium" w:cs="Titilium"/>
                <w:sz w:val="21"/>
                <w:szCs w:val="21"/>
              </w:rPr>
              <w:t xml:space="preserve">- </w:t>
            </w:r>
            <w:r>
              <w:rPr>
                <w:rFonts w:ascii="Titilium" w:hAnsi="Titilium" w:eastAsia="Titilium" w:cs="Titilium"/>
                <w:b/>
                <w:sz w:val="21"/>
                <w:szCs w:val="21"/>
              </w:rPr>
              <w:t xml:space="preserve">or </w:t>
            </w:r>
            <w:r>
              <w:rPr>
                <w:rFonts w:ascii="Titilium" w:hAnsi="Titilium" w:eastAsia="Titilium" w:cs="Titilium"/>
                <w:b/>
                <w:sz w:val="21"/>
                <w:szCs w:val="21"/>
              </w:rPr>
              <w:t xml:space="preserve">persons</w:t>
            </w:r>
            <w:r>
              <w:rPr>
                <w:rFonts w:ascii="Titilium" w:hAnsi="Titilium" w:eastAsia="Titilium" w:cs="Titilium"/>
                <w:b/>
                <w:sz w:val="21"/>
                <w:szCs w:val="21"/>
              </w:rPr>
              <w:t xml:space="preserve"> - who, by owning the </w:t>
            </w:r>
            <w:r>
              <w:rPr>
                <w:rFonts w:ascii="Titilium" w:hAnsi="Titilium" w:eastAsia="Titilium" w:cs="Titilium"/>
                <w:b/>
                <w:sz w:val="21"/>
                <w:szCs w:val="21"/>
              </w:rPr>
              <w:t xml:space="preserve">aforementioned entity</w:t>
            </w:r>
            <w:r>
              <w:rPr>
                <w:rFonts w:ascii="Titilium" w:hAnsi="Titilium" w:eastAsia="Titilium" w:cs="Titilium"/>
                <w:b/>
                <w:sz w:val="21"/>
                <w:szCs w:val="21"/>
              </w:rPr>
              <w:t xml:space="preserve">, is its </w:t>
            </w:r>
            <w:r>
              <w:rPr>
                <w:rFonts w:ascii="Titilium" w:hAnsi="Titilium" w:eastAsia="Titilium" w:cs="Titilium"/>
                <w:b/>
                <w:sz w:val="21"/>
                <w:szCs w:val="21"/>
              </w:rPr>
              <w:t xml:space="preserve">beneficiary </w:t>
            </w:r>
            <w:r>
              <w:rPr>
                <w:rFonts w:ascii="Titilium" w:hAnsi="Titilium" w:eastAsia="Titilium" w:cs="Titilium"/>
                <w:sz w:val="21"/>
                <w:szCs w:val="21"/>
              </w:rPr>
              <w:t xml:space="preserve">.</w:t>
            </w:r>
            <w:r>
              <w:rPr>
                <w:rFonts w:ascii="Titilium" w:hAnsi="Titilium" w:eastAsia="Titilium" w:cs="Titilium"/>
                <w:sz w:val="21"/>
                <w:szCs w:val="21"/>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All legal entities must therefore have a beneficial owner, </w:t>
            </w:r>
            <w:r>
              <w:rPr>
                <w:rFonts w:ascii="Titilium" w:hAnsi="Titilium" w:eastAsia="Titilium" w:cs="Titilium"/>
                <w:sz w:val="21"/>
                <w:szCs w:val="21"/>
              </w:rPr>
              <w:t xml:space="preserve">with the exception of</w:t>
            </w:r>
            <w:r>
              <w:rPr>
                <w:rFonts w:ascii="Titilium" w:hAnsi="Titilium" w:eastAsia="Titilium" w:cs="Titilium"/>
                <w:sz w:val="21"/>
                <w:szCs w:val="21"/>
              </w:rPr>
              <w:t xml:space="preserve"> individual businesses and freelancers, in which the beneficial owner coincides with the natural person.</w:t>
            </w:r>
            <w:r>
              <w:rPr>
                <w:rFonts w:ascii="Titilium" w:hAnsi="Titilium" w:eastAsia="Titilium" w:cs="Titilium"/>
                <w:sz w:val="21"/>
                <w:szCs w:val="21"/>
              </w:rPr>
            </w:r>
          </w:p>
          <w:p>
            <w:pPr>
              <w:pBdr/>
              <w:spacing w:after="160" w:line="259" w:lineRule="auto"/>
              <w:ind/>
              <w:jc w:val="both"/>
              <w:rPr>
                <w:rFonts w:ascii="Titilium" w:hAnsi="Titilium" w:eastAsia="Titilium" w:cs="Titilium"/>
                <w:b/>
                <w:sz w:val="21"/>
                <w:szCs w:val="21"/>
              </w:rPr>
            </w:pPr>
            <w:r>
              <w:rPr>
                <w:rFonts w:ascii="Titilium" w:hAnsi="Titilium" w:eastAsia="Titilium" w:cs="Titilium"/>
                <w:sz w:val="21"/>
                <w:szCs w:val="21"/>
              </w:rPr>
              <w:t xml:space="preserve">In light of the provisions of the</w:t>
            </w:r>
            <w:r>
              <w:rPr>
                <w:rFonts w:ascii="Titilium" w:hAnsi="Titilium" w:eastAsia="Titilium" w:cs="Titilium"/>
                <w:b/>
                <w:sz w:val="21"/>
                <w:szCs w:val="21"/>
              </w:rPr>
              <w:t xml:space="preserve"> </w:t>
            </w:r>
            <w:r>
              <w:rPr>
                <w:rFonts w:ascii="Titilium" w:hAnsi="Titilium" w:eastAsia="Titilium" w:cs="Titilium"/>
                <w:sz w:val="21"/>
                <w:szCs w:val="21"/>
              </w:rPr>
              <w:t xml:space="preserve">MEF Ministerial Decree n. 55 of 11 March 2022 " </w:t>
            </w:r>
            <w:r>
              <w:rPr>
                <w:rFonts w:ascii="Titilium" w:hAnsi="Titilium" w:eastAsia="Titilium" w:cs="Titilium"/>
                <w:i/>
                <w:sz w:val="21"/>
                <w:szCs w:val="21"/>
              </w:rPr>
              <w:t xml:space="preserve">Regulation containing provisions on communic</w:t>
            </w:r>
            <w:r>
              <w:rPr>
                <w:rFonts w:ascii="Titilium" w:hAnsi="Titilium" w:eastAsia="Titilium" w:cs="Titilium"/>
                <w:i/>
                <w:sz w:val="21"/>
                <w:szCs w:val="21"/>
              </w:rPr>
              <w:t xml:space="preserve">ation, access and consultation of data and information relating to the beneficial ownership of companies with legal personality, private legal persons, trusts producing legal effects relevant for tax purposes and of legal institutions similar to the trust </w:t>
            </w:r>
            <w:r>
              <w:rPr>
                <w:rFonts w:ascii="Titilium" w:hAnsi="Titilium" w:eastAsia="Titilium" w:cs="Titilium"/>
                <w:sz w:val="21"/>
                <w:szCs w:val="21"/>
              </w:rPr>
              <w:t xml:space="preserve">", and by the " </w:t>
            </w:r>
            <w:r>
              <w:rPr>
                <w:rFonts w:ascii="Titilium" w:hAnsi="Titilium" w:eastAsia="Titilium" w:cs="Titilium"/>
                <w:i/>
                <w:sz w:val="21"/>
                <w:szCs w:val="21"/>
              </w:rPr>
              <w:t xml:space="preserve">Guidelines for carrying out control and reporting activities of the PNRR interventions falling within the competence of the Central Administrations and the implementing bodies </w:t>
            </w:r>
            <w:r>
              <w:rPr>
                <w:rFonts w:ascii="Titilium" w:hAnsi="Titilium" w:eastAsia="Titilium" w:cs="Titilium"/>
                <w:sz w:val="21"/>
                <w:szCs w:val="21"/>
              </w:rPr>
              <w:t xml:space="preserve">" issued by the MEF - Central Service for the PNRR with circular no. 30 of the On 11 August 2022, subjects participating in PNRR notices and tenders are also obliged to provide the data necessary to identify the beneficial owner.</w:t>
            </w:r>
            <w:r>
              <w:rPr>
                <w:rFonts w:ascii="Titilium" w:hAnsi="Titilium" w:eastAsia="Titilium" w:cs="Titilium"/>
                <w:b/>
                <w:sz w:val="21"/>
                <w:szCs w:val="21"/>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The UIF Communication of 11 April 2022 also reiterates the importance of ascertaining the "beneficial owner" pursuant to art. 22 Reg. 241/2021. In particular " </w:t>
            </w:r>
            <w:r>
              <w:rPr>
                <w:rFonts w:ascii="Titilium" w:hAnsi="Titilium" w:eastAsia="Titilium" w:cs="Titilium"/>
                <w:i/>
                <w:sz w:val="21"/>
                <w:szCs w:val="21"/>
              </w:rPr>
              <w:t xml:space="preserve">For the purposes of checks on beneficial ownership, similarly to what is provided for the recipients of customer due diligence obligations, it is appropriate for public administratio</w:t>
            </w:r>
            <w:r>
              <w:rPr>
                <w:rFonts w:ascii="Titilium" w:hAnsi="Titilium" w:eastAsia="Titilium" w:cs="Titilium"/>
                <w:i/>
                <w:sz w:val="21"/>
                <w:szCs w:val="21"/>
              </w:rPr>
              <w:t xml:space="preserve">ns to take into account the notion and indications contained in Legislative Decree 231/ 2007, make use of the aids deriving from public or private databases, where accessible, and keep evidence of the criteria followed for identifying beneficial ownership </w:t>
            </w:r>
            <w:r>
              <w:rPr>
                <w:rFonts w:ascii="Titilium" w:hAnsi="Titilium" w:eastAsia="Titilium" w:cs="Titilium"/>
                <w:sz w:val="21"/>
                <w:szCs w:val="21"/>
              </w:rPr>
              <w:t xml:space="preserve">".</w:t>
            </w:r>
            <w:r>
              <w:rPr>
                <w:rFonts w:ascii="Titilium" w:hAnsi="Titilium" w:eastAsia="Titilium" w:cs="Titilium"/>
                <w:sz w:val="21"/>
                <w:szCs w:val="21"/>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More in detail, pursuant to art. 1 of the </w:t>
            </w:r>
            <w:r>
              <w:rPr>
                <w:rFonts w:ascii="Titilium" w:hAnsi="Titilium" w:eastAsia="Titilium" w:cs="Titilium"/>
                <w:sz w:val="21"/>
                <w:szCs w:val="21"/>
              </w:rPr>
              <w:t xml:space="preserve">aforementioned MEF</w:t>
            </w:r>
            <w:r>
              <w:rPr>
                <w:rFonts w:ascii="Titilium" w:hAnsi="Titilium" w:eastAsia="Titilium" w:cs="Titilium"/>
                <w:sz w:val="21"/>
                <w:szCs w:val="21"/>
              </w:rPr>
              <w:t xml:space="preserve"> Decree n.44/2022, for the identification of the beneficial owner, in the case of:</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companies with legal </w:t>
            </w:r>
            <w:r>
              <w:rPr>
                <w:rFonts w:ascii="Titilium" w:hAnsi="Titilium" w:eastAsia="Titilium" w:cs="Titilium"/>
                <w:b/>
                <w:sz w:val="21"/>
                <w:szCs w:val="21"/>
              </w:rPr>
              <w:t xml:space="preserve">personality </w:t>
            </w:r>
            <w:r>
              <w:rPr>
                <w:rFonts w:ascii="Titilium" w:hAnsi="Titilium" w:eastAsia="Titilium" w:cs="Titilium"/>
                <w:sz w:val="21"/>
                <w:szCs w:val="21"/>
              </w:rPr>
              <w:t xml:space="preserve">,</w:t>
            </w:r>
            <w:r>
              <w:rPr>
                <w:rFonts w:ascii="Titilium" w:hAnsi="Titilium" w:eastAsia="Titilium" w:cs="Titilium"/>
                <w:sz w:val="21"/>
                <w:szCs w:val="21"/>
              </w:rPr>
              <w:t xml:space="preserve"> reference is made to the natural person or natural persons to whom direct or indirect ownership can be traced back pursuant to Article 20, paragraphs 2, 3 and 5, of the anti-money laundering </w:t>
            </w:r>
            <w:r>
              <w:rPr>
                <w:rFonts w:ascii="Titilium" w:hAnsi="Titilium" w:eastAsia="Titilium" w:cs="Titilium"/>
                <w:sz w:val="21"/>
                <w:szCs w:val="21"/>
              </w:rPr>
              <w:t xml:space="preserve">decree;</w:t>
            </w:r>
            <w:r>
              <w:rPr>
                <w:rFonts w:ascii="Titilium" w:hAnsi="Titilium" w:eastAsia="Titilium" w:cs="Titilium"/>
                <w:sz w:val="21"/>
                <w:szCs w:val="21"/>
              </w:rPr>
            </w:r>
          </w:p>
          <w:p>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hanging="294"/>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private legal </w:t>
            </w:r>
            <w:r>
              <w:rPr>
                <w:rFonts w:ascii="Titilium" w:hAnsi="Titilium" w:eastAsia="Titilium" w:cs="Titilium"/>
                <w:b/>
                <w:sz w:val="21"/>
                <w:szCs w:val="21"/>
              </w:rPr>
              <w:t xml:space="preserve">persons </w:t>
            </w:r>
            <w:r>
              <w:rPr>
                <w:rFonts w:ascii="Titilium" w:hAnsi="Titilium" w:eastAsia="Titilium" w:cs="Titilium"/>
                <w:sz w:val="21"/>
                <w:szCs w:val="21"/>
              </w:rPr>
              <w:t xml:space="preserve">,</w:t>
            </w:r>
            <w:r>
              <w:rPr>
                <w:rFonts w:ascii="Titilium" w:hAnsi="Titilium" w:eastAsia="Titilium" w:cs="Titilium"/>
                <w:sz w:val="21"/>
                <w:szCs w:val="21"/>
              </w:rPr>
              <w:t xml:space="preserve"> reference is made to the subjects identified by article 20, paragraph 4, of the anti-money laundering </w:t>
            </w:r>
            <w:r>
              <w:rPr>
                <w:rFonts w:ascii="Titilium" w:hAnsi="Titilium" w:eastAsia="Titilium" w:cs="Titilium"/>
                <w:sz w:val="21"/>
                <w:szCs w:val="21"/>
              </w:rPr>
              <w:t xml:space="preserve">decree;</w:t>
            </w:r>
            <w:r>
              <w:rPr>
                <w:rFonts w:ascii="Titilium" w:hAnsi="Titilium" w:eastAsia="Titilium" w:cs="Titilium"/>
                <w:sz w:val="21"/>
                <w:szCs w:val="21"/>
              </w:rPr>
            </w:r>
          </w:p>
          <w:p>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left="284"/>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trusts and similar legal </w:t>
            </w:r>
            <w:r>
              <w:rPr>
                <w:rFonts w:ascii="Titilium" w:hAnsi="Titilium" w:eastAsia="Titilium" w:cs="Titilium"/>
                <w:b/>
                <w:sz w:val="21"/>
                <w:szCs w:val="21"/>
              </w:rPr>
              <w:t xml:space="preserve">institutions </w:t>
            </w:r>
            <w:r>
              <w:rPr>
                <w:rFonts w:ascii="Titilium" w:hAnsi="Titilium" w:eastAsia="Titilium" w:cs="Titilium"/>
                <w:sz w:val="21"/>
                <w:szCs w:val="21"/>
              </w:rPr>
              <w:t xml:space="preserve">,</w:t>
            </w:r>
            <w:r>
              <w:rPr>
                <w:rFonts w:ascii="Titilium" w:hAnsi="Titilium" w:eastAsia="Titilium" w:cs="Titilium"/>
                <w:sz w:val="21"/>
                <w:szCs w:val="21"/>
              </w:rPr>
              <w:t xml:space="preserve"> reference is made to the subjects identified by article 22, paragraph 5, </w:t>
            </w:r>
            <w:r>
              <w:rPr>
                <w:rFonts w:ascii="Titilium" w:hAnsi="Titilium" w:eastAsia="Titilium" w:cs="Titilium"/>
                <w:sz w:val="21"/>
                <w:szCs w:val="21"/>
              </w:rPr>
              <w:t xml:space="preserve">first sentence,</w:t>
            </w:r>
            <w:r>
              <w:rPr>
                <w:rFonts w:ascii="Titilium" w:hAnsi="Titilium" w:eastAsia="Titilium" w:cs="Titilium"/>
                <w:sz w:val="21"/>
                <w:szCs w:val="21"/>
              </w:rPr>
              <w:t xml:space="preserve"> of the anti-money laundering </w:t>
            </w:r>
            <w:r>
              <w:rPr>
                <w:rFonts w:ascii="Titilium" w:hAnsi="Titilium" w:eastAsia="Titilium" w:cs="Titilium"/>
                <w:sz w:val="21"/>
                <w:szCs w:val="21"/>
              </w:rPr>
              <w:t xml:space="preserve">decree;</w:t>
            </w:r>
            <w:r>
              <w:rPr>
                <w:rFonts w:ascii="Titilium" w:hAnsi="Titilium" w:eastAsia="Titilium" w:cs="Titilium"/>
                <w:sz w:val="21"/>
                <w:szCs w:val="21"/>
              </w:rPr>
            </w:r>
          </w:p>
          <w:p>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jc w:val="both"/>
              <w:rPr>
                <w:rFonts w:ascii="Titilium" w:hAnsi="Titilium" w:eastAsia="Titilium" w:cs="Titilium"/>
                <w:sz w:val="21"/>
                <w:szCs w:val="21"/>
              </w:rPr>
            </w:pPr>
            <w:r>
              <w:rPr>
                <w:rFonts w:ascii="Titilium" w:hAnsi="Titilium" w:eastAsia="Titilium" w:cs="Titilium"/>
                <w:sz w:val="21"/>
                <w:szCs w:val="21"/>
              </w:rPr>
              <w:t xml:space="preserve">The identifying data of the subjects to whom the beneficial ownership refers are:</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the name and </w:t>
            </w:r>
            <w:r>
              <w:rPr>
                <w:rFonts w:ascii="Titilium" w:hAnsi="Titilium" w:eastAsia="Titilium" w:cs="Titilium"/>
                <w:b/>
                <w:sz w:val="21"/>
                <w:szCs w:val="21"/>
              </w:rPr>
              <w:t xml:space="preserve">surname;</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place and date of </w:t>
            </w:r>
            <w:r>
              <w:rPr>
                <w:rFonts w:ascii="Titilium" w:hAnsi="Titilium" w:eastAsia="Titilium" w:cs="Titilium"/>
                <w:b/>
                <w:sz w:val="21"/>
                <w:szCs w:val="21"/>
              </w:rPr>
              <w:t xml:space="preserve">birth;</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registered </w:t>
            </w:r>
            <w:r>
              <w:rPr>
                <w:rFonts w:ascii="Titilium" w:hAnsi="Titilium" w:eastAsia="Titilium" w:cs="Titilium"/>
                <w:b/>
                <w:sz w:val="21"/>
                <w:szCs w:val="21"/>
              </w:rPr>
              <w:t xml:space="preserve">residence;</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the </w:t>
            </w:r>
            <w:r>
              <w:rPr>
                <w:rFonts w:ascii="Titilium" w:hAnsi="Titilium" w:eastAsia="Titilium" w:cs="Titilium"/>
                <w:b/>
                <w:sz w:val="21"/>
                <w:szCs w:val="21"/>
              </w:rPr>
              <w:t xml:space="preserve">domicile </w:t>
            </w:r>
            <w:r>
              <w:rPr>
                <w:rFonts w:ascii="Titilium" w:hAnsi="Titilium" w:eastAsia="Titilium" w:cs="Titilium"/>
                <w:sz w:val="21"/>
                <w:szCs w:val="21"/>
              </w:rPr>
              <w:t xml:space="preserve">,</w:t>
            </w:r>
            <w:r>
              <w:rPr>
                <w:rFonts w:ascii="Titilium" w:hAnsi="Titilium" w:eastAsia="Titilium" w:cs="Titilium"/>
                <w:sz w:val="21"/>
                <w:szCs w:val="21"/>
              </w:rPr>
              <w:t xml:space="preserve"> if different from the registered </w:t>
            </w:r>
            <w:r>
              <w:rPr>
                <w:rFonts w:ascii="Titilium" w:hAnsi="Titilium" w:eastAsia="Titilium" w:cs="Titilium"/>
                <w:sz w:val="21"/>
                <w:szCs w:val="21"/>
              </w:rPr>
              <w:t xml:space="preserve">residence;</w:t>
            </w:r>
            <w:r>
              <w:rPr>
                <w:rFonts w:ascii="Titilium" w:hAnsi="Titilium" w:eastAsia="Titilium" w:cs="Titilium"/>
                <w:sz w:val="21"/>
                <w:szCs w:val="21"/>
              </w:rPr>
            </w:r>
          </w:p>
          <w:p>
            <w:pPr>
              <w:numPr>
                <w:ilvl w:val="0"/>
                <w:numId w:val="1"/>
              </w:num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59" w:lineRule="auto"/>
              <w:ind w:hanging="284" w:left="284"/>
              <w:jc w:val="both"/>
              <w:rPr>
                <w:rFonts w:ascii="Titilium" w:hAnsi="Titilium" w:eastAsia="Titilium" w:cs="Titilium"/>
                <w:sz w:val="21"/>
                <w:szCs w:val="21"/>
              </w:rPr>
            </w:pPr>
            <w:r>
              <w:rPr>
                <w:rFonts w:ascii="Titilium" w:hAnsi="Titilium" w:eastAsia="Titilium" w:cs="Titilium"/>
                <w:b/>
                <w:sz w:val="21"/>
                <w:szCs w:val="21"/>
              </w:rPr>
              <w:t xml:space="preserve">the tax </w:t>
            </w:r>
            <w:r>
              <w:rPr>
                <w:rFonts w:ascii="Titilium" w:hAnsi="Titilium" w:eastAsia="Titilium" w:cs="Titilium"/>
                <w:b/>
                <w:sz w:val="21"/>
                <w:szCs w:val="21"/>
              </w:rPr>
              <w:t xml:space="preserve">code </w:t>
            </w:r>
            <w:r>
              <w:rPr>
                <w:rFonts w:ascii="Titilium" w:hAnsi="Titilium" w:eastAsia="Titilium" w:cs="Titilium"/>
                <w:sz w:val="21"/>
                <w:szCs w:val="21"/>
              </w:rPr>
              <w:t xml:space="preserve">.</w:t>
            </w:r>
            <w:r>
              <w:rPr>
                <w:rFonts w:ascii="Titilium" w:hAnsi="Titilium" w:eastAsia="Titilium" w:cs="Titilium"/>
                <w:sz w:val="21"/>
                <w:szCs w:val="21"/>
              </w:rPr>
            </w:r>
          </w:p>
          <w:p>
            <w:pPr>
              <w:pBdr/>
              <w:spacing/>
              <w:ind/>
              <w:rPr>
                <w:rFonts w:ascii="Titilium" w:hAnsi="Titilium" w:eastAsia="Titilium" w:cs="Titilium"/>
                <w:b/>
                <w:color w:val="000000"/>
                <w:sz w:val="21"/>
                <w:szCs w:val="21"/>
              </w:rPr>
            </w:pPr>
            <w:r>
              <w:rPr>
                <w:rFonts w:ascii="Titilium" w:hAnsi="Titilium" w:eastAsia="Titilium" w:cs="Titilium"/>
                <w:b/>
                <w:color w:val="000000"/>
                <w:sz w:val="21"/>
                <w:szCs w:val="21"/>
              </w:rPr>
            </w:r>
            <w:r>
              <w:rPr>
                <w:rFonts w:ascii="Titilium" w:hAnsi="Titilium" w:eastAsia="Titilium" w:cs="Titilium"/>
                <w:b/>
                <w:color w:val="000000"/>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200" w:line="276" w:lineRule="auto"/>
              <w:ind w:hanging="284" w:left="284"/>
              <w:rPr>
                <w:rFonts w:ascii="Titilium" w:hAnsi="Titilium" w:eastAsia="Titilium" w:cs="Titilium"/>
                <w:color w:val="000000"/>
                <w:sz w:val="21"/>
                <w:szCs w:val="21"/>
              </w:rPr>
            </w:pPr>
            <w:r>
              <w:rPr>
                <w:rFonts w:ascii="Titilium" w:hAnsi="Titilium" w:eastAsia="Titilium" w:cs="Titilium"/>
                <w:b/>
                <w:color w:val="000000"/>
                <w:sz w:val="21"/>
                <w:szCs w:val="21"/>
              </w:rPr>
              <w:t xml:space="preserve">CRITERIA FOR IDENTIFYING THE BENEFICIAL OWNER</w:t>
            </w:r>
            <w:r>
              <w:rPr>
                <w:rFonts w:ascii="Titilium" w:hAnsi="Titilium" w:eastAsia="Titilium" w:cs="Titilium"/>
                <w:color w:val="000000"/>
                <w:sz w:val="21"/>
                <w:szCs w:val="21"/>
              </w:rPr>
            </w:r>
          </w:p>
          <w:p>
            <w:pPr>
              <w:pBdr/>
              <w:spacing/>
              <w:ind/>
              <w:jc w:val="both"/>
              <w:rPr>
                <w:rFonts w:ascii="Titilium" w:hAnsi="Titilium" w:eastAsia="Titilium" w:cs="Titilium"/>
                <w:b/>
                <w:color w:val="000000"/>
                <w:sz w:val="21"/>
                <w:szCs w:val="21"/>
              </w:rPr>
            </w:pPr>
            <w:r>
              <w:rPr>
                <w:rFonts w:ascii="Titilium" w:hAnsi="Titilium" w:eastAsia="Titilium" w:cs="Titilium"/>
                <w:color w:val="000000"/>
                <w:sz w:val="21"/>
                <w:szCs w:val="21"/>
              </w:rPr>
              <w:t xml:space="preserve">The " </w:t>
            </w:r>
            <w:r>
              <w:rPr>
                <w:rFonts w:ascii="Titilium" w:hAnsi="Titilium" w:eastAsia="Titilium" w:cs="Titilium"/>
                <w:i/>
                <w:color w:val="000000"/>
                <w:sz w:val="21"/>
                <w:szCs w:val="21"/>
              </w:rPr>
              <w:t xml:space="preserve">Guidelines for carrying out control and reporting activities of the PNRR interventions falling within the competence of the Central Administrations and the implementing bodies </w:t>
            </w:r>
            <w:r>
              <w:rPr>
                <w:rFonts w:ascii="Titilium" w:hAnsi="Titilium" w:eastAsia="Titilium" w:cs="Titilium"/>
                <w:color w:val="000000"/>
                <w:sz w:val="21"/>
                <w:szCs w:val="21"/>
              </w:rPr>
              <w:t xml:space="preserve">" issued by the </w:t>
            </w:r>
            <w:r>
              <w:rPr>
                <w:rFonts w:ascii="Titilium" w:hAnsi="Titilium" w:eastAsia="Titilium" w:cs="Titilium"/>
                <w:color w:val="000000"/>
                <w:sz w:val="21"/>
                <w:szCs w:val="21"/>
              </w:rPr>
              <w:t xml:space="preserve">MEF - Central Service for the PNRR with circular no. 30 of 11 August 2022, in referring to the legislative decree no. 231/2007, as amended by Legislative Decree no. 125 of 2019, calls for the application of </w:t>
            </w:r>
            <w:r>
              <w:rPr>
                <w:rFonts w:ascii="Titilium" w:hAnsi="Titilium" w:eastAsia="Titilium" w:cs="Titilium"/>
                <w:b/>
                <w:color w:val="000000"/>
                <w:sz w:val="21"/>
                <w:szCs w:val="21"/>
              </w:rPr>
              <w:t xml:space="preserve">3 alternative criteria for identifying the beneficial owner:</w:t>
            </w:r>
            <w:r>
              <w:rPr>
                <w:rFonts w:ascii="Titilium" w:hAnsi="Titilium" w:eastAsia="Titilium" w:cs="Titilium"/>
                <w:b/>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b/>
                <w:color w:val="000000"/>
                <w:sz w:val="21"/>
                <w:szCs w:val="21"/>
              </w:rPr>
              <w:t xml:space="preserve">1. ownership structure criterion: </w:t>
            </w:r>
            <w:r>
              <w:rPr>
                <w:rFonts w:ascii="Titilium" w:hAnsi="Titilium" w:eastAsia="Titilium" w:cs="Titilium"/>
                <w:color w:val="000000"/>
                <w:sz w:val="21"/>
                <w:szCs w:val="21"/>
              </w:rPr>
              <w:t xml:space="preserve">on the basis of</w:t>
            </w:r>
            <w:r>
              <w:rPr>
                <w:rFonts w:ascii="Titilium" w:hAnsi="Titilium" w:eastAsia="Titilium" w:cs="Titilium"/>
                <w:color w:val="000000"/>
                <w:sz w:val="21"/>
                <w:szCs w:val="21"/>
              </w:rPr>
              <w:t xml:space="preserve"> this criterion, the beneficial owner(s) i</w:t>
            </w:r>
            <w:r>
              <w:rPr>
                <w:rFonts w:ascii="Titilium" w:hAnsi="Titilium" w:eastAsia="Titilium" w:cs="Titilium"/>
                <w:color w:val="000000"/>
                <w:sz w:val="21"/>
                <w:szCs w:val="21"/>
              </w:rPr>
              <w:t xml:space="preserve">s identified when one or more people hold a stake in the company capital exceeding 25%. If this percentage of corporate ownership is controlled by another non-physical legal entity, it is necessary to trace the ownership chain until finding the beneficial </w:t>
            </w:r>
            <w:r>
              <w:rPr>
                <w:rFonts w:ascii="Titilium" w:hAnsi="Titilium" w:eastAsia="Titilium" w:cs="Titilium"/>
                <w:color w:val="000000"/>
                <w:sz w:val="21"/>
                <w:szCs w:val="21"/>
              </w:rPr>
              <w:t xml:space="preserve">owner;</w:t>
            </w:r>
            <w:r>
              <w:rPr>
                <w:rFonts w:ascii="Titilium" w:hAnsi="Titilium" w:eastAsia="Titilium" w:cs="Titilium"/>
                <w:color w:val="000000"/>
                <w:sz w:val="21"/>
                <w:szCs w:val="21"/>
              </w:rPr>
            </w:r>
          </w:p>
          <w:p>
            <w:pPr>
              <w:pBdr/>
              <w:spacing/>
              <w:ind/>
              <w:jc w:val="both"/>
              <w:rPr>
                <w:rFonts w:ascii="Titilium" w:hAnsi="Titilium" w:eastAsia="Titilium" w:cs="Titilium"/>
                <w:b/>
                <w:color w:val="000000"/>
                <w:sz w:val="21"/>
                <w:szCs w:val="21"/>
              </w:rPr>
            </w:pPr>
            <w:r>
              <w:rPr>
                <w:rFonts w:ascii="Titilium" w:hAnsi="Titilium" w:eastAsia="Titilium" w:cs="Titilium"/>
                <w:b/>
                <w:color w:val="000000"/>
                <w:sz w:val="21"/>
                <w:szCs w:val="21"/>
              </w:rPr>
            </w:r>
            <w:r>
              <w:rPr>
                <w:rFonts w:ascii="Titilium" w:hAnsi="Titilium" w:eastAsia="Titilium" w:cs="Titilium"/>
                <w:b/>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b/>
                <w:color w:val="000000"/>
                <w:sz w:val="21"/>
                <w:szCs w:val="21"/>
              </w:rPr>
              <w:t xml:space="preserve">2. control criterion: </w:t>
            </w:r>
            <w:r>
              <w:rPr>
                <w:rFonts w:ascii="Titilium" w:hAnsi="Titilium" w:eastAsia="Titilium" w:cs="Titilium"/>
                <w:color w:val="000000"/>
                <w:sz w:val="21"/>
                <w:szCs w:val="21"/>
              </w:rPr>
              <w:t xml:space="preserve">on the basis of</w:t>
            </w:r>
            <w:r>
              <w:rPr>
                <w:rFonts w:ascii="Titilium" w:hAnsi="Titilium" w:eastAsia="Titilium" w:cs="Titilium"/>
                <w:color w:val="000000"/>
                <w:sz w:val="21"/>
                <w:szCs w:val="21"/>
              </w:rPr>
              <w:t xml:space="preserve"> this criterion, we verify who is the person, or group of people, who, through possession of </w:t>
            </w:r>
            <w:r>
              <w:rPr>
                <w:rFonts w:ascii="Titilium" w:hAnsi="Titilium" w:eastAsia="Titilium" w:cs="Titilium"/>
                <w:color w:val="000000"/>
                <w:sz w:val="21"/>
                <w:szCs w:val="21"/>
              </w:rPr>
              <w:t xml:space="preserve">the majority of</w:t>
            </w:r>
            <w:r>
              <w:rPr>
                <w:rFonts w:ascii="Titilium" w:hAnsi="Titilium" w:eastAsia="Titilium" w:cs="Titilium"/>
                <w:color w:val="000000"/>
                <w:sz w:val="21"/>
                <w:szCs w:val="21"/>
              </w:rPr>
              <w:t xml:space="preserve"> </w:t>
            </w:r>
            <w:r>
              <w:rPr>
                <w:rFonts w:ascii="Titilium" w:hAnsi="Titilium" w:eastAsia="Titilium" w:cs="Titilium"/>
                <w:color w:val="000000"/>
                <w:sz w:val="21"/>
                <w:szCs w:val="21"/>
              </w:rPr>
              <w:t xml:space="preserve">votes</w:t>
            </w:r>
            <w:r>
              <w:rPr>
                <w:rFonts w:ascii="Titilium" w:hAnsi="Titilium" w:eastAsia="Titilium" w:cs="Titilium"/>
                <w:color w:val="000000"/>
                <w:sz w:val="21"/>
                <w:szCs w:val="21"/>
              </w:rPr>
              <w:t xml:space="preserve"> or contractual constraints, exercises greater influence within the shareholder panorama. This criterion is fundamental </w:t>
            </w:r>
            <w:r>
              <w:rPr>
                <w:rFonts w:ascii="Titilium" w:hAnsi="Titilium" w:eastAsia="Titilium" w:cs="Titilium"/>
                <w:color w:val="000000"/>
                <w:sz w:val="21"/>
                <w:szCs w:val="21"/>
              </w:rPr>
              <w:t xml:space="preserve">in the event that</w:t>
            </w:r>
            <w:r>
              <w:rPr>
                <w:rFonts w:ascii="Titilium" w:hAnsi="Titilium" w:eastAsia="Titilium" w:cs="Titilium"/>
                <w:color w:val="000000"/>
                <w:sz w:val="21"/>
                <w:szCs w:val="21"/>
              </w:rPr>
              <w:t xml:space="preserve"> it is not possible to trace the beneficial owner through the analysis of the ownership structure (see point 1</w:t>
            </w:r>
            <w:r>
              <w:rPr>
                <w:rFonts w:ascii="Titilium" w:hAnsi="Titilium" w:eastAsia="Titilium" w:cs="Titilium"/>
                <w:color w:val="000000"/>
                <w:sz w:val="21"/>
                <w:szCs w:val="21"/>
              </w:rPr>
              <w:t xml:space="preserve">);</w:t>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b/>
                <w:color w:val="000000"/>
                <w:sz w:val="21"/>
                <w:szCs w:val="21"/>
              </w:rPr>
              <w:t xml:space="preserve">3. residual criterion: </w:t>
            </w:r>
            <w:r>
              <w:rPr>
                <w:rFonts w:ascii="Titilium" w:hAnsi="Titilium" w:eastAsia="Titilium" w:cs="Titilium"/>
                <w:color w:val="000000"/>
                <w:sz w:val="21"/>
                <w:szCs w:val="21"/>
              </w:rPr>
              <w:t xml:space="preserve">this criterion establishes that, if the beneficial owners have not been identified with the previous two criteria, the latter must be identified as the person who exercises </w:t>
            </w:r>
            <w:r>
              <w:rPr>
                <w:rFonts w:ascii="Titilium" w:hAnsi="Titilium" w:eastAsia="Titilium" w:cs="Titilium"/>
                <w:color w:val="000000"/>
                <w:sz w:val="21"/>
                <w:szCs w:val="21"/>
              </w:rPr>
              <w:t xml:space="preserve">administrative</w:t>
            </w:r>
            <w:r>
              <w:rPr>
                <w:rFonts w:ascii="Titilium" w:hAnsi="Titilium" w:eastAsia="Titilium" w:cs="Titilium"/>
                <w:color w:val="000000"/>
                <w:sz w:val="21"/>
                <w:szCs w:val="21"/>
              </w:rPr>
              <w:t xml:space="preserve"> or management powers of the company.</w:t>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The same MEF Circular 30/2022 specifies that all successful tenderers/contractors with the PA are required to communicate the data on beneficial ownership.</w:t>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In the event that subcontracting is used (if provided for in the Notice/Tender Notice and the Contract) the communication of </w:t>
            </w:r>
            <w:r>
              <w:rPr>
                <w:rFonts w:ascii="Titilium" w:hAnsi="Titilium" w:eastAsia="Titilium" w:cs="Titilium"/>
                <w:color w:val="000000"/>
                <w:sz w:val="21"/>
                <w:szCs w:val="21"/>
              </w:rPr>
              <w:t xml:space="preserve">the data relating to the beneficial owner must be carried out not only by the successful tenderer of the contract, but also by the third party ( subcontractor) to whom the contractor entrusts in whole or in part the execution of the work contracted to him.</w:t>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In the case of a Temporary Grouping of Companies (RTI), the communication of the data on the beneficial owner must be carried out by all the economic operators who are part of the Grouping.</w:t>
            </w:r>
            <w:r>
              <w:rPr>
                <w:rFonts w:ascii="Titilium" w:hAnsi="Titilium" w:eastAsia="Titilium" w:cs="Titilium"/>
                <w:color w:val="000000"/>
                <w:sz w:val="21"/>
                <w:szCs w:val="21"/>
              </w:rPr>
            </w:r>
          </w:p>
          <w:p>
            <w:pPr>
              <w:pBdr/>
              <w:spacing/>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280" w:before="280" w:line="276" w:lineRule="auto"/>
              <w:ind w:hanging="284" w:left="284"/>
              <w:rPr>
                <w:rFonts w:ascii="Titilium" w:hAnsi="Titilium" w:eastAsia="Titilium" w:cs="Titilium"/>
                <w:b/>
                <w:color w:val="000000"/>
                <w:sz w:val="21"/>
                <w:szCs w:val="21"/>
              </w:rPr>
            </w:pPr>
            <w:r>
              <w:rPr>
                <w:rFonts w:ascii="Titilium" w:hAnsi="Titilium" w:eastAsia="Titilium" w:cs="Titilium"/>
                <w:b/>
                <w:color w:val="000000"/>
                <w:sz w:val="21"/>
                <w:szCs w:val="21"/>
              </w:rPr>
              <w:t xml:space="preserve">REGULATORY APPENDIX</w:t>
            </w:r>
            <w:r>
              <w:rPr>
                <w:rFonts w:ascii="Titilium" w:hAnsi="Titilium" w:eastAsia="Titilium" w:cs="Titilium"/>
                <w:b/>
                <w:color w:val="000000"/>
                <w:sz w:val="21"/>
                <w:szCs w:val="21"/>
              </w:rPr>
            </w:r>
          </w:p>
          <w:p>
            <w:pPr>
              <w:pBdr/>
              <w:spacing w:after="280" w:before="280"/>
              <w:ind/>
              <w:jc w:val="both"/>
              <w:rPr>
                <w:rFonts w:ascii="Titilium" w:hAnsi="Titilium" w:eastAsia="Titilium" w:cs="Titilium"/>
                <w:b/>
                <w:sz w:val="21"/>
                <w:szCs w:val="21"/>
              </w:rPr>
            </w:pPr>
            <w:r>
              <w:rPr>
                <w:rFonts w:ascii="Titilium" w:hAnsi="Titilium" w:eastAsia="Titilium" w:cs="Titilium"/>
                <w:b/>
                <w:sz w:val="21"/>
                <w:szCs w:val="21"/>
              </w:rPr>
              <w:t xml:space="preserve">Legislative Decree 21 November 2007 n. 231</w:t>
            </w:r>
            <w:r>
              <w:rPr>
                <w:rFonts w:ascii="Titilium" w:hAnsi="Titilium" w:eastAsia="Titilium" w:cs="Titilium"/>
                <w:b/>
                <w:sz w:val="21"/>
                <w:szCs w:val="21"/>
              </w:rPr>
            </w:r>
          </w:p>
          <w:p>
            <w:pPr>
              <w:pBdr/>
              <w:spacing w:after="280" w:before="280"/>
              <w:ind/>
              <w:jc w:val="both"/>
              <w:rPr>
                <w:rFonts w:ascii="Titilium" w:hAnsi="Titilium" w:eastAsia="Titilium" w:cs="Titilium"/>
                <w:sz w:val="21"/>
                <w:szCs w:val="21"/>
              </w:rPr>
            </w:pPr>
            <w:r>
              <w:rPr>
                <w:rFonts w:ascii="Titilium" w:hAnsi="Titilium" w:eastAsia="Titilium" w:cs="Titilium"/>
                <w:i/>
                <w:sz w:val="21"/>
                <w:szCs w:val="21"/>
              </w:rPr>
              <w:t xml:space="preserve">Implementation of Directive 2005/60/EC concerning the prevention of the use of the financial system for the purpose of money laundering and terrorist financing as well as Directive 2006/70/EC which contains implementing </w:t>
            </w:r>
            <w:r>
              <w:rPr>
                <w:rFonts w:ascii="Titilium" w:hAnsi="Titilium" w:eastAsia="Titilium" w:cs="Titilium"/>
                <w:i/>
                <w:sz w:val="21"/>
                <w:szCs w:val="21"/>
              </w:rPr>
              <w:t xml:space="preserve">measures </w:t>
            </w:r>
            <w:r>
              <w:rPr>
                <w:rFonts w:ascii="Titilium" w:hAnsi="Titilium" w:eastAsia="Titilium" w:cs="Titilium"/>
                <w:sz w:val="21"/>
                <w:szCs w:val="21"/>
              </w:rPr>
              <w:t xml:space="preserve">.</w:t>
            </w:r>
            <w:r>
              <w:rPr>
                <w:rFonts w:ascii="Titilium" w:hAnsi="Titilium" w:eastAsia="Titilium" w:cs="Titilium"/>
                <w:sz w:val="21"/>
                <w:szCs w:val="21"/>
              </w:rPr>
            </w:r>
          </w:p>
          <w:p>
            <w:pPr>
              <w:pBdr/>
              <w:spacing w:after="160" w:line="259" w:lineRule="auto"/>
              <w:ind/>
              <w:jc w:val="both"/>
              <w:rPr>
                <w:rFonts w:ascii="Titilium" w:hAnsi="Titilium" w:eastAsia="Titilium" w:cs="Titilium"/>
                <w:b/>
                <w:i/>
                <w:color w:val="000000"/>
                <w:sz w:val="21"/>
                <w:szCs w:val="21"/>
                <w:u w:val="single"/>
              </w:rPr>
            </w:pPr>
            <w:r>
              <w:rPr>
                <w:rFonts w:ascii="Titilium" w:hAnsi="Titilium" w:eastAsia="Titilium" w:cs="Titilium"/>
                <w:b/>
                <w:color w:val="000000"/>
                <w:sz w:val="21"/>
                <w:szCs w:val="21"/>
                <w:u w:val="single"/>
              </w:rPr>
              <w:t xml:space="preserve">Art. 1. </w:t>
            </w:r>
            <w:r>
              <w:rPr>
                <w:rFonts w:ascii="Titilium" w:hAnsi="Titilium" w:eastAsia="Titilium" w:cs="Titilium"/>
                <w:b/>
                <w:i/>
                <w:color w:val="000000"/>
                <w:sz w:val="21"/>
                <w:szCs w:val="21"/>
                <w:u w:val="single"/>
              </w:rPr>
              <w:t xml:space="preserve">Definitions</w:t>
            </w:r>
            <w:r>
              <w:rPr>
                <w:rFonts w:ascii="Titilium" w:hAnsi="Titilium" w:eastAsia="Titilium" w:cs="Titilium"/>
                <w:b/>
                <w:i/>
                <w:color w:val="000000"/>
                <w:sz w:val="21"/>
                <w:szCs w:val="21"/>
                <w:u w:val="single"/>
              </w:rPr>
            </w:r>
          </w:p>
          <w:p>
            <w:pPr>
              <w:pBdr/>
              <w:spacing w:after="160"/>
              <w:ind/>
              <w:jc w:val="both"/>
              <w:rPr>
                <w:rFonts w:ascii="Titilium" w:hAnsi="Titilium" w:eastAsia="Titilium" w:cs="Titilium"/>
                <w:i/>
                <w:color w:val="000000"/>
                <w:sz w:val="21"/>
                <w:szCs w:val="21"/>
              </w:rPr>
            </w:pPr>
            <w:r>
              <w:rPr>
                <w:rFonts w:ascii="Titilium" w:hAnsi="Titilium" w:eastAsia="Titilium" w:cs="Titilium"/>
                <w:i/>
                <w:color w:val="000000"/>
                <w:sz w:val="21"/>
                <w:szCs w:val="21"/>
              </w:rPr>
              <w:t xml:space="preserve">…omitted…</w:t>
            </w:r>
            <w:r>
              <w:rPr>
                <w:rFonts w:ascii="Titilium" w:hAnsi="Titilium" w:eastAsia="Titilium" w:cs="Titilium"/>
                <w:i/>
                <w:color w:val="000000"/>
                <w:sz w:val="21"/>
                <w:szCs w:val="21"/>
              </w:rPr>
            </w:r>
          </w:p>
          <w:p>
            <w:pPr>
              <w:pBdr/>
              <w:spacing w:after="160"/>
              <w:ind/>
              <w:jc w:val="both"/>
              <w:rPr>
                <w:rFonts w:ascii="Titilium" w:hAnsi="Titilium" w:eastAsia="Titilium" w:cs="Titilium"/>
                <w:sz w:val="21"/>
                <w:szCs w:val="21"/>
              </w:rPr>
            </w:pPr>
            <w:r>
              <w:rPr>
                <w:rFonts w:ascii="Titilium" w:hAnsi="Titilium" w:eastAsia="Titilium" w:cs="Titilium"/>
                <w:color w:val="000000"/>
                <w:sz w:val="21"/>
                <w:szCs w:val="21"/>
              </w:rPr>
              <w:t xml:space="preserve">2. In this decree the following definitions apply:</w:t>
            </w:r>
            <w:r>
              <w:rPr>
                <w:rFonts w:ascii="Titilium" w:hAnsi="Titilium" w:eastAsia="Titilium" w:cs="Titilium"/>
                <w:sz w:val="21"/>
                <w:szCs w:val="21"/>
              </w:rPr>
            </w:r>
          </w:p>
          <w:p>
            <w:pPr>
              <w:pBdr/>
              <w:spacing w:after="280" w:before="280"/>
              <w:ind/>
              <w:jc w:val="both"/>
              <w:rPr>
                <w:rFonts w:ascii="Titilium" w:hAnsi="Titilium" w:eastAsia="Titilium" w:cs="Titilium"/>
                <w:i/>
                <w:color w:val="000000"/>
                <w:sz w:val="21"/>
                <w:szCs w:val="21"/>
              </w:rPr>
            </w:pPr>
            <w:r>
              <w:rPr>
                <w:rFonts w:ascii="Titilium" w:hAnsi="Titilium" w:eastAsia="Titilium" w:cs="Titilium"/>
                <w:i/>
                <w:color w:val="000000"/>
                <w:sz w:val="21"/>
                <w:szCs w:val="21"/>
              </w:rPr>
              <w:t xml:space="preserve">…omitted…</w:t>
            </w:r>
            <w:r>
              <w:rPr>
                <w:rFonts w:ascii="Titilium" w:hAnsi="Titilium" w:eastAsia="Titilium" w:cs="Titilium"/>
                <w:i/>
                <w:color w:val="000000"/>
                <w:sz w:val="21"/>
                <w:szCs w:val="21"/>
              </w:rPr>
            </w:r>
          </w:p>
          <w:p>
            <w:pPr>
              <w:pBdr/>
              <w:spacing w:after="280" w:before="280"/>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pp</w:t>
            </w:r>
            <w:r>
              <w:rPr>
                <w:rFonts w:ascii="Titilium" w:hAnsi="Titilium" w:eastAsia="Titilium" w:cs="Titilium"/>
                <w:color w:val="000000"/>
                <w:sz w:val="21"/>
                <w:szCs w:val="21"/>
              </w:rPr>
              <w:t xml:space="preserve">) </w:t>
            </w:r>
            <w:r>
              <w:rPr>
                <w:rFonts w:ascii="Titilium" w:hAnsi="Titilium" w:eastAsia="Titilium" w:cs="Titilium"/>
                <w:b/>
                <w:color w:val="000000"/>
                <w:sz w:val="21"/>
                <w:szCs w:val="21"/>
              </w:rPr>
              <w:t xml:space="preserve">beneficial </w:t>
            </w:r>
            <w:r>
              <w:rPr>
                <w:rFonts w:ascii="Titilium" w:hAnsi="Titilium" w:eastAsia="Titilium" w:cs="Titilium"/>
                <w:b/>
                <w:color w:val="000000"/>
                <w:sz w:val="21"/>
                <w:szCs w:val="21"/>
              </w:rPr>
              <w:t xml:space="preserve">owner </w:t>
            </w:r>
            <w:r>
              <w:rPr>
                <w:rFonts w:ascii="Titilium" w:hAnsi="Titilium" w:eastAsia="Titilium" w:cs="Titilium"/>
                <w:color w:val="000000"/>
                <w:sz w:val="21"/>
                <w:szCs w:val="21"/>
              </w:rPr>
              <w:t xml:space="preserve">:</w:t>
            </w:r>
            <w:r>
              <w:rPr>
                <w:rFonts w:ascii="Titilium" w:hAnsi="Titilium" w:eastAsia="Titilium" w:cs="Titilium"/>
                <w:color w:val="000000"/>
                <w:sz w:val="21"/>
                <w:szCs w:val="21"/>
              </w:rPr>
              <w:t xml:space="preserve"> the natural person or natural persons, other than the customer, in whose interest or persons, ultimately, the continuous relationship is established, the professional service is </w:t>
            </w:r>
            <w:r>
              <w:rPr>
                <w:rFonts w:ascii="Titilium" w:hAnsi="Titilium" w:eastAsia="Titilium" w:cs="Titilium"/>
                <w:color w:val="000000"/>
                <w:sz w:val="21"/>
                <w:szCs w:val="21"/>
              </w:rPr>
              <w:t xml:space="preserve">rendered</w:t>
            </w:r>
            <w:r>
              <w:rPr>
                <w:rFonts w:ascii="Titilium" w:hAnsi="Titilium" w:eastAsia="Titilium" w:cs="Titilium"/>
                <w:color w:val="000000"/>
                <w:sz w:val="21"/>
                <w:szCs w:val="21"/>
              </w:rPr>
              <w:t xml:space="preserve"> or the operation is carried </w:t>
            </w:r>
            <w:r>
              <w:rPr>
                <w:rFonts w:ascii="Titilium" w:hAnsi="Titilium" w:eastAsia="Titilium" w:cs="Titilium"/>
                <w:color w:val="000000"/>
                <w:sz w:val="21"/>
                <w:szCs w:val="21"/>
              </w:rPr>
              <w:t xml:space="preserve">out;</w:t>
            </w:r>
            <w:r>
              <w:rPr>
                <w:rFonts w:ascii="Titilium" w:hAnsi="Titilium" w:eastAsia="Titilium" w:cs="Titilium"/>
                <w:color w:val="000000"/>
                <w:sz w:val="21"/>
                <w:szCs w:val="21"/>
              </w:rPr>
            </w:r>
          </w:p>
          <w:p>
            <w:pPr>
              <w:pBdr/>
              <w:spacing w:after="280" w:before="280"/>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after="280" w:before="280"/>
              <w:ind/>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after="280" w:before="280"/>
              <w:ind/>
              <w:jc w:val="both"/>
              <w:rPr>
                <w:rFonts w:ascii="Titilium" w:hAnsi="Titilium" w:eastAsia="Titilium" w:cs="Titilium"/>
                <w:sz w:val="21"/>
                <w:szCs w:val="21"/>
                <w:u w:val="single"/>
              </w:rPr>
            </w:pPr>
            <w:r>
              <w:rPr>
                <w:rFonts w:ascii="Titilium" w:hAnsi="Titilium" w:eastAsia="Titilium" w:cs="Titilium"/>
                <w:b/>
                <w:sz w:val="21"/>
                <w:szCs w:val="21"/>
                <w:u w:val="single"/>
              </w:rPr>
              <w:t xml:space="preserve">Article 20.</w:t>
            </w:r>
            <w:r>
              <w:rPr>
                <w:rFonts w:ascii="Titilium" w:hAnsi="Titilium" w:eastAsia="Titilium" w:cs="Titilium"/>
                <w:sz w:val="21"/>
                <w:szCs w:val="21"/>
                <w:u w:val="single"/>
              </w:rPr>
              <w:t xml:space="preserve">  </w:t>
            </w:r>
            <w:r>
              <w:rPr>
                <w:rFonts w:ascii="Titilium" w:hAnsi="Titilium" w:eastAsia="Titilium" w:cs="Titilium"/>
                <w:b/>
                <w:i/>
                <w:sz w:val="21"/>
                <w:szCs w:val="21"/>
                <w:u w:val="single"/>
              </w:rPr>
              <w:t xml:space="preserve">Criteria for determining beneficial ownership of customers other than natural </w:t>
            </w:r>
            <w:r>
              <w:rPr>
                <w:rFonts w:ascii="Titilium" w:hAnsi="Titilium" w:eastAsia="Titilium" w:cs="Titilium"/>
                <w:b/>
                <w:i/>
                <w:sz w:val="21"/>
                <w:szCs w:val="21"/>
                <w:u w:val="single"/>
              </w:rPr>
              <w:t xml:space="preserve">persons</w:t>
            </w:r>
            <w:r>
              <w:rPr>
                <w:rFonts w:ascii="Titilium" w:hAnsi="Titilium" w:eastAsia="Titilium" w:cs="Titilium"/>
                <w:sz w:val="21"/>
                <w:szCs w:val="21"/>
                <w:u w:val="single"/>
              </w:rPr>
            </w:r>
          </w:p>
          <w:p>
            <w:pPr>
              <w:pBdr/>
              <w:spacing w:after="280" w:before="280"/>
              <w:ind/>
              <w:jc w:val="both"/>
              <w:rPr>
                <w:rFonts w:ascii="Titilium" w:hAnsi="Titilium" w:eastAsia="Titilium" w:cs="Titilium"/>
                <w:sz w:val="21"/>
                <w:szCs w:val="21"/>
              </w:rPr>
            </w:pPr>
            <w:r>
              <w:rPr>
                <w:rFonts w:ascii="Titilium" w:hAnsi="Titilium" w:eastAsia="Titilium" w:cs="Titilium"/>
                <w:sz w:val="21"/>
                <w:szCs w:val="21"/>
              </w:rPr>
              <w:t xml:space="preserve">1. The beneficial owner of customers other than natural </w:t>
            </w:r>
            <w:r>
              <w:rPr>
                <w:rFonts w:ascii="Titilium" w:hAnsi="Titilium" w:eastAsia="Titilium" w:cs="Titilium"/>
                <w:sz w:val="21"/>
                <w:szCs w:val="21"/>
              </w:rPr>
              <w:t xml:space="preserve">persons</w:t>
            </w:r>
            <w:r>
              <w:rPr>
                <w:rFonts w:ascii="Titilium" w:hAnsi="Titilium" w:eastAsia="Titilium" w:cs="Titilium"/>
                <w:sz w:val="21"/>
                <w:szCs w:val="21"/>
              </w:rPr>
              <w:t xml:space="preserve"> coincides with the natural person or natural persons to whom, ultimately, direct or indirect ownership of the entity or related control is attributable.</w:t>
            </w:r>
            <w:r>
              <w:rPr>
                <w:rFonts w:ascii="Titilium" w:hAnsi="Titilium" w:eastAsia="Titilium" w:cs="Titilium"/>
                <w:sz w:val="21"/>
                <w:szCs w:val="21"/>
              </w:rPr>
            </w:r>
          </w:p>
          <w:p>
            <w:pPr>
              <w:pBdr/>
              <w:spacing/>
              <w:ind/>
              <w:jc w:val="both"/>
              <w:rPr>
                <w:rFonts w:ascii="Titilium" w:hAnsi="Titilium" w:eastAsia="Titilium" w:cs="Titilium"/>
                <w:sz w:val="21"/>
                <w:szCs w:val="21"/>
              </w:rPr>
            </w:pPr>
            <w:r>
              <w:rPr>
                <w:rFonts w:ascii="Titilium" w:hAnsi="Titilium" w:eastAsia="Titilium" w:cs="Titilium"/>
                <w:sz w:val="21"/>
                <w:szCs w:val="21"/>
              </w:rPr>
              <w:t xml:space="preserve">2. If the customer is a joint-stock company:</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a) ownership of a stake exceeding 25 percent of the customer's capital, held by a natural person, constitutes an indication of direct </w:t>
            </w:r>
            <w:r>
              <w:rPr>
                <w:rFonts w:ascii="Titilium" w:hAnsi="Titilium" w:eastAsia="Titilium" w:cs="Titilium"/>
                <w:sz w:val="21"/>
                <w:szCs w:val="21"/>
              </w:rPr>
              <w:t xml:space="preserve">ownership;</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b) ownership of a percentage of shareholdings exceeding 25 percent of the customer's capital, held through subsidiaries, trust companies or through third parties, constitutes an indication of indirect ownership.</w:t>
            </w:r>
            <w:r>
              <w:rPr>
                <w:rFonts w:ascii="Titilium" w:hAnsi="Titilium" w:eastAsia="Titilium" w:cs="Titilium"/>
                <w:sz w:val="21"/>
                <w:szCs w:val="21"/>
              </w:rPr>
            </w:r>
          </w:p>
          <w:p>
            <w:pPr>
              <w:pBdr/>
              <w:spacing/>
              <w:ind/>
              <w:jc w:val="both"/>
              <w:rPr>
                <w:rFonts w:ascii="Titilium" w:hAnsi="Titilium" w:eastAsia="Titilium" w:cs="Titilium"/>
                <w:sz w:val="21"/>
                <w:szCs w:val="21"/>
              </w:rPr>
            </w:pPr>
            <w:r>
              <w:rPr>
                <w:rFonts w:ascii="Titilium" w:hAnsi="Titilium" w:eastAsia="Titilium" w:cs="Titilium"/>
                <w:sz w:val="21"/>
                <w:szCs w:val="21"/>
              </w:rPr>
              <w:t xml:space="preserve">3. In cases where the examination of the ownership structure does not allow the natural person or natural perso</w:t>
            </w:r>
            <w:r>
              <w:rPr>
                <w:rFonts w:ascii="Titilium" w:hAnsi="Titilium" w:eastAsia="Titilium" w:cs="Titilium"/>
                <w:sz w:val="21"/>
                <w:szCs w:val="21"/>
              </w:rPr>
              <w:t xml:space="preserve">ns to whom direct or indirect ownership of the entity is attributable to be unambiguously identified, the beneficial owner coincides with the natural person or persons physical entities to whom, ultimately, control of the same is attributable by virtue of:</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a) control of </w:t>
            </w:r>
            <w:r>
              <w:rPr>
                <w:rFonts w:ascii="Titilium" w:hAnsi="Titilium" w:eastAsia="Titilium" w:cs="Titilium"/>
                <w:sz w:val="21"/>
                <w:szCs w:val="21"/>
              </w:rPr>
              <w:t xml:space="preserve">the majority of</w:t>
            </w:r>
            <w:r>
              <w:rPr>
                <w:rFonts w:ascii="Titilium" w:hAnsi="Titilium" w:eastAsia="Titilium" w:cs="Titilium"/>
                <w:sz w:val="21"/>
                <w:szCs w:val="21"/>
              </w:rPr>
              <w:t xml:space="preserve"> votes </w:t>
            </w:r>
            <w:r>
              <w:rPr>
                <w:rFonts w:ascii="Titilium" w:hAnsi="Titilium" w:eastAsia="Titilium" w:cs="Titilium"/>
                <w:sz w:val="21"/>
                <w:szCs w:val="21"/>
              </w:rPr>
              <w:t xml:space="preserve">exercisable</w:t>
            </w:r>
            <w:r>
              <w:rPr>
                <w:rFonts w:ascii="Titilium" w:hAnsi="Titilium" w:eastAsia="Titilium" w:cs="Titilium"/>
                <w:sz w:val="21"/>
                <w:szCs w:val="21"/>
              </w:rPr>
              <w:t xml:space="preserve"> in the ordinary </w:t>
            </w:r>
            <w:r>
              <w:rPr>
                <w:rFonts w:ascii="Titilium" w:hAnsi="Titilium" w:eastAsia="Titilium" w:cs="Titilium"/>
                <w:sz w:val="21"/>
                <w:szCs w:val="21"/>
              </w:rPr>
              <w:t xml:space="preserve">meeting;</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b) control of sufficient votes to exercise a dominant influence in the ordinary </w:t>
            </w:r>
            <w:r>
              <w:rPr>
                <w:rFonts w:ascii="Titilium" w:hAnsi="Titilium" w:eastAsia="Titilium" w:cs="Titilium"/>
                <w:sz w:val="21"/>
                <w:szCs w:val="21"/>
              </w:rPr>
              <w:t xml:space="preserve">meeting;</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c) the existence of </w:t>
            </w:r>
            <w:r>
              <w:rPr>
                <w:rFonts w:ascii="Titilium" w:hAnsi="Titilium" w:eastAsia="Titilium" w:cs="Titilium"/>
                <w:sz w:val="21"/>
                <w:szCs w:val="21"/>
              </w:rPr>
              <w:t xml:space="preserve">particular contractual</w:t>
            </w:r>
            <w:r>
              <w:rPr>
                <w:rFonts w:ascii="Titilium" w:hAnsi="Titilium" w:eastAsia="Titilium" w:cs="Titilium"/>
                <w:sz w:val="21"/>
                <w:szCs w:val="21"/>
              </w:rPr>
              <w:t xml:space="preserve"> constraints that allow the exercise of a dominant influence.</w:t>
            </w:r>
            <w:r>
              <w:rPr>
                <w:rFonts w:ascii="Titilium" w:hAnsi="Titilium" w:eastAsia="Titilium" w:cs="Titilium"/>
                <w:sz w:val="21"/>
                <w:szCs w:val="21"/>
              </w:rPr>
            </w:r>
          </w:p>
          <w:p>
            <w:pPr>
              <w:pBdr/>
              <w:spacing/>
              <w:ind/>
              <w:jc w:val="both"/>
              <w:rPr>
                <w:rFonts w:ascii="Titilium" w:hAnsi="Titilium" w:eastAsia="Titilium" w:cs="Titilium"/>
                <w:sz w:val="21"/>
                <w:szCs w:val="21"/>
              </w:rPr>
            </w:pPr>
            <w:r>
              <w:rPr>
                <w:rFonts w:ascii="Titilium" w:hAnsi="Titilium" w:eastAsia="Titilium" w:cs="Titilium"/>
                <w:sz w:val="21"/>
                <w:szCs w:val="21"/>
              </w:rPr>
              <w:t xml:space="preserve">4. In the event that the customer is a private legal person, referred to in the </w:t>
            </w:r>
            <w:hyperlink r:id="rId12" w:tooltip="http://bd01.leggiditalia.it/cgi-bin/FulShow?TIPO=5&amp;NOTXT=1&amp;KEY=01LX0000144162ART0" w:history="1">
              <w:r>
                <w:rPr>
                  <w:rFonts w:ascii="Titilium" w:hAnsi="Titilium" w:eastAsia="Titilium" w:cs="Titilium"/>
                  <w:i/>
                  <w:sz w:val="21"/>
                  <w:szCs w:val="21"/>
                </w:rPr>
                <w:t xml:space="preserve">decree of the President of the Republic of 10 February 2000, n. 361 </w:t>
              </w:r>
            </w:hyperlink>
            <w:r>
              <w:rPr>
                <w:rFonts w:ascii="Titilium" w:hAnsi="Titilium" w:eastAsia="Titilium" w:cs="Titilium"/>
                <w:sz w:val="21"/>
                <w:szCs w:val="21"/>
              </w:rPr>
              <w:t xml:space="preserve">, are cumulatively identified as beneficial owners:</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a) the founders, if </w:t>
            </w:r>
            <w:r>
              <w:rPr>
                <w:rFonts w:ascii="Titilium" w:hAnsi="Titilium" w:eastAsia="Titilium" w:cs="Titilium"/>
                <w:sz w:val="21"/>
                <w:szCs w:val="21"/>
              </w:rPr>
              <w:t xml:space="preserve">alive;</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b) the beneficiaries, when identified or easily </w:t>
            </w:r>
            <w:r>
              <w:rPr>
                <w:rFonts w:ascii="Titilium" w:hAnsi="Titilium" w:eastAsia="Titilium" w:cs="Titilium"/>
                <w:sz w:val="21"/>
                <w:szCs w:val="21"/>
              </w:rPr>
              <w:t xml:space="preserve">identifiable;</w:t>
            </w:r>
            <w:r>
              <w:rPr>
                <w:rFonts w:ascii="Titilium" w:hAnsi="Titilium" w:eastAsia="Titilium" w:cs="Titilium"/>
                <w:sz w:val="21"/>
                <w:szCs w:val="21"/>
              </w:rPr>
            </w:r>
          </w:p>
          <w:p>
            <w:pPr>
              <w:pBdr/>
              <w:spacing/>
              <w:ind w:firstLine="400"/>
              <w:jc w:val="both"/>
              <w:rPr>
                <w:rFonts w:ascii="Titilium" w:hAnsi="Titilium" w:eastAsia="Titilium" w:cs="Titilium"/>
                <w:sz w:val="21"/>
                <w:szCs w:val="21"/>
              </w:rPr>
            </w:pPr>
            <w:r>
              <w:rPr>
                <w:rFonts w:ascii="Titilium" w:hAnsi="Titilium" w:eastAsia="Titilium" w:cs="Titilium"/>
                <w:sz w:val="21"/>
                <w:szCs w:val="21"/>
              </w:rPr>
              <w:t xml:space="preserve">c) holders of powers of legal representation, management and administration.</w:t>
            </w:r>
            <w:r>
              <w:rPr>
                <w:rFonts w:ascii="Titilium" w:hAnsi="Titilium" w:eastAsia="Titilium" w:cs="Titilium"/>
                <w:sz w:val="21"/>
                <w:szCs w:val="21"/>
              </w:rPr>
            </w:r>
          </w:p>
          <w:p>
            <w:pPr>
              <w:pBdr/>
              <w:spacing w:after="280" w:before="280"/>
              <w:ind/>
              <w:jc w:val="both"/>
              <w:rPr>
                <w:rFonts w:ascii="Titilium" w:hAnsi="Titilium" w:eastAsia="Titilium" w:cs="Titilium"/>
                <w:sz w:val="21"/>
                <w:szCs w:val="21"/>
              </w:rPr>
            </w:pPr>
            <w:r>
              <w:rPr>
                <w:rFonts w:ascii="Titilium" w:hAnsi="Titilium" w:eastAsia="Titilium" w:cs="Titilium"/>
                <w:sz w:val="21"/>
                <w:szCs w:val="21"/>
              </w:rPr>
              <w:t xml:space="preserve">5. If the application of the criteria referred to in the previous paragraphs does not allow one or more beneficial owners to be unequivocally identified, the beneficial owner coincides with the n</w:t>
            </w:r>
            <w:r>
              <w:rPr>
                <w:rFonts w:ascii="Titilium" w:hAnsi="Titilium" w:eastAsia="Titilium" w:cs="Titilium"/>
                <w:sz w:val="21"/>
                <w:szCs w:val="21"/>
              </w:rPr>
              <w:t xml:space="preserve">atural person or natural persons holding, in accordance with their respective organizational or statutory structures, powers of representation legal, administration or management of the company or the customer in any case different from the natural person.</w:t>
            </w:r>
            <w:r>
              <w:rPr>
                <w:rFonts w:ascii="Titilium" w:hAnsi="Titilium" w:eastAsia="Titilium" w:cs="Titilium"/>
                <w:sz w:val="21"/>
                <w:szCs w:val="21"/>
              </w:rPr>
            </w:r>
          </w:p>
          <w:p>
            <w:pPr>
              <w:pBdr/>
              <w:spacing w:after="280" w:before="280"/>
              <w:ind/>
              <w:jc w:val="both"/>
              <w:rPr>
                <w:rFonts w:ascii="Titilium" w:hAnsi="Titilium" w:eastAsia="Titilium" w:cs="Titilium"/>
                <w:sz w:val="21"/>
                <w:szCs w:val="21"/>
              </w:rPr>
            </w:pPr>
            <w:r>
              <w:rPr>
                <w:rFonts w:ascii="Titilium" w:hAnsi="Titilium" w:eastAsia="Titilium" w:cs="Titilium"/>
                <w:sz w:val="21"/>
                <w:szCs w:val="21"/>
              </w:rPr>
              <w:t xml:space="preserve">6. The obliged entities shall keep records of the checks carried out for the purpose of identifying the beneficial owner as well as, with specific reference to the beneficial owner identified pursuant to paragraph 5, of </w:t>
            </w:r>
            <w:r>
              <w:rPr>
                <w:rFonts w:ascii="Titilium" w:hAnsi="Titilium" w:eastAsia="Titilium" w:cs="Titilium"/>
                <w:sz w:val="21"/>
                <w:szCs w:val="21"/>
              </w:rPr>
              <w:t xml:space="preserve">the reasons</w:t>
            </w:r>
            <w:r>
              <w:rPr>
                <w:rFonts w:ascii="Titilium" w:hAnsi="Titilium" w:eastAsia="Titilium" w:cs="Titilium"/>
                <w:sz w:val="21"/>
                <w:szCs w:val="21"/>
              </w:rPr>
              <w:t xml:space="preserve"> which did not allow the identification of the beneficial owner pursuant to paragraphs 1, 2, 3 and 4 of this </w:t>
            </w:r>
            <w:r>
              <w:rPr>
                <w:rFonts w:ascii="Titilium" w:hAnsi="Titilium" w:eastAsia="Titilium" w:cs="Titilium"/>
                <w:sz w:val="21"/>
                <w:szCs w:val="21"/>
              </w:rPr>
              <w:t xml:space="preserve">article</w:t>
            </w:r>
            <w:r>
              <w:rPr>
                <w:rFonts w:ascii="Titilium" w:hAnsi="Titilium" w:eastAsia="Titilium" w:cs="Titilium"/>
                <w:sz w:val="21"/>
                <w:szCs w:val="21"/>
              </w:rPr>
              <w:t xml:space="preserve">.</w:t>
            </w:r>
            <w:r>
              <w:rPr>
                <w:rFonts w:ascii="Titilium" w:hAnsi="Titilium" w:eastAsia="Titilium" w:cs="Titilium"/>
                <w:sz w:val="21"/>
                <w:szCs w:val="21"/>
              </w:rPr>
            </w:r>
          </w:p>
          <w:p>
            <w:pPr>
              <w:pBdr/>
              <w:spacing w:after="160" w:line="259" w:lineRule="auto"/>
              <w:ind/>
              <w:jc w:val="both"/>
              <w:rPr>
                <w:rFonts w:ascii="Titilium" w:hAnsi="Titilium" w:eastAsia="Titilium" w:cs="Titilium"/>
                <w:b/>
                <w:sz w:val="21"/>
                <w:szCs w:val="21"/>
                <w:u w:val="single"/>
              </w:rPr>
            </w:pPr>
            <w:r>
              <w:rPr>
                <w:rFonts w:ascii="Titilium" w:hAnsi="Titilium" w:eastAsia="Titilium" w:cs="Titilium"/>
                <w:b/>
                <w:sz w:val="21"/>
                <w:szCs w:val="21"/>
                <w:u w:val="single"/>
              </w:rPr>
              <w:t xml:space="preserve">Art. 22. </w:t>
            </w:r>
            <w:r>
              <w:rPr>
                <w:rFonts w:ascii="Titilium" w:hAnsi="Titilium" w:eastAsia="Titilium" w:cs="Titilium"/>
                <w:b/>
                <w:i/>
                <w:sz w:val="21"/>
                <w:szCs w:val="21"/>
                <w:u w:val="single"/>
              </w:rPr>
              <w:t xml:space="preserve">Customer obligations</w:t>
            </w:r>
            <w:r>
              <w:rPr>
                <w:rFonts w:ascii="Titilium" w:hAnsi="Titilium" w:eastAsia="Titilium" w:cs="Titilium"/>
                <w:b/>
                <w:sz w:val="21"/>
                <w:szCs w:val="21"/>
                <w:u w:val="single"/>
              </w:rPr>
            </w:r>
          </w:p>
          <w:p>
            <w:pPr>
              <w:pBdr/>
              <w:spacing w:after="160" w:line="259" w:lineRule="auto"/>
              <w:ind/>
              <w:jc w:val="both"/>
              <w:rPr>
                <w:rFonts w:ascii="Titilium" w:hAnsi="Titilium" w:eastAsia="Titilium" w:cs="Titilium"/>
                <w:sz w:val="21"/>
                <w:szCs w:val="21"/>
              </w:rPr>
            </w:pPr>
            <w:r>
              <w:rPr>
                <w:rFonts w:ascii="Titilium" w:hAnsi="Titilium" w:eastAsia="Titilium" w:cs="Titilium"/>
                <w:sz w:val="21"/>
                <w:szCs w:val="21"/>
              </w:rPr>
              <w:t xml:space="preserve">…omitted…</w:t>
            </w:r>
            <w:r>
              <w:rPr>
                <w:rFonts w:ascii="Titilium" w:hAnsi="Titilium" w:eastAsia="Titilium" w:cs="Titilium"/>
                <w:sz w:val="21"/>
                <w:szCs w:val="21"/>
              </w:rPr>
            </w:r>
          </w:p>
          <w:p>
            <w:pPr>
              <w:pBdr/>
              <w:spacing w:after="160" w:line="259" w:lineRule="auto"/>
              <w:ind/>
              <w:jc w:val="both"/>
              <w:rPr>
                <w:rFonts w:ascii="Titilium" w:hAnsi="Titilium" w:eastAsia="Titilium" w:cs="Titilium"/>
                <w:b/>
                <w:sz w:val="21"/>
                <w:szCs w:val="21"/>
              </w:rPr>
            </w:pPr>
            <w:r>
              <w:rPr>
                <w:rFonts w:ascii="Titilium" w:hAnsi="Titilium" w:eastAsia="Titilium" w:cs="Titilium"/>
                <w:sz w:val="21"/>
                <w:szCs w:val="21"/>
              </w:rPr>
              <w:t xml:space="preserve">5. The trustees of express trusts, regulated pursuant to law 16 October 1989, n. 364, as well as persons who exercise equivalent rights, powers and faculties in similar legal institutions, provid</w:t>
            </w:r>
            <w:r>
              <w:rPr>
                <w:rFonts w:ascii="Titilium" w:hAnsi="Titilium" w:eastAsia="Titilium" w:cs="Titilium"/>
                <w:sz w:val="21"/>
                <w:szCs w:val="21"/>
              </w:rPr>
              <w:t xml:space="preserve">ed they are established or resident in the territory of the Italian Republic, obtain and hold adequate, accurate and updated information on the beneficial ownership of the trust, or similar legal institution, by these meaning those relating to the identity</w:t>
            </w:r>
            <w:r>
              <w:rPr>
                <w:rFonts w:ascii="Titilium" w:hAnsi="Titilium" w:eastAsia="Titilium" w:cs="Titilium"/>
                <w:sz w:val="21"/>
                <w:szCs w:val="21"/>
              </w:rPr>
              <w:t xml:space="preserve"> of the constituent or constituents, of the trustee or trustees, of the guardian or guardians or of another person on behalf of the trustee, if any, of the beneficiaries or class of beneficiaries and of the other natural persons who exercise control over t</w:t>
            </w:r>
            <w:r>
              <w:rPr>
                <w:rFonts w:ascii="Titilium" w:hAnsi="Titilium" w:eastAsia="Titilium" w:cs="Titilium"/>
                <w:sz w:val="21"/>
                <w:szCs w:val="21"/>
              </w:rPr>
              <w:t xml:space="preserve">he trust or similar legal institution and of any other natural person who exercises, ultimately, control over the assets transferred to the trust or similar legal institution through direct or indirect ownership or through other means. Trustees of express </w:t>
            </w:r>
            <w:r>
              <w:rPr>
                <w:rFonts w:ascii="Titilium" w:hAnsi="Titilium" w:eastAsia="Titilium" w:cs="Titilium"/>
                <w:sz w:val="21"/>
                <w:szCs w:val="21"/>
              </w:rPr>
              <w:t xml:space="preserve">trusts</w:t>
            </w:r>
            <w:r>
              <w:rPr>
                <w:rFonts w:ascii="Titilium" w:hAnsi="Titilium" w:eastAsia="Titilium" w:cs="Titilium"/>
                <w:sz w:val="21"/>
                <w:szCs w:val="21"/>
              </w:rPr>
              <w:t xml:space="preserve"> and </w:t>
            </w:r>
            <w:r>
              <w:rPr>
                <w:rFonts w:ascii="Titilium" w:hAnsi="Titilium" w:eastAsia="Titilium" w:cs="Titilium"/>
                <w:sz w:val="21"/>
                <w:szCs w:val="21"/>
              </w:rPr>
              <w:t xml:space="preserve">persons</w:t>
            </w:r>
            <w:r>
              <w:rPr>
                <w:rFonts w:ascii="Titilium" w:hAnsi="Titilium" w:eastAsia="Titilium" w:cs="Titilium"/>
                <w:sz w:val="21"/>
                <w:szCs w:val="21"/>
              </w:rPr>
              <w:t xml:space="preserve"> exercising equivalent rights, powers and faculties in similar legal arrangements shall retain such information for a period of not less than five years from the termination of their status as trustees and shall make it readily acc</w:t>
            </w:r>
            <w:r>
              <w:rPr>
                <w:rFonts w:ascii="Titilium" w:hAnsi="Titilium" w:eastAsia="Titilium" w:cs="Titilium"/>
                <w:sz w:val="21"/>
                <w:szCs w:val="21"/>
              </w:rPr>
              <w:t xml:space="preserve">essible to the authorities referred to in Article 21, paragraph 2, letters a) and b). The same trustees who, in this capacity, establish a continuous or professional relationship or perform an occasional service declare their status to the obliged parties.</w:t>
            </w:r>
            <w:r>
              <w:rPr>
                <w:rFonts w:ascii="Titilium" w:hAnsi="Titilium" w:eastAsia="Titilium" w:cs="Titilium"/>
                <w:b/>
                <w:sz w:val="21"/>
                <w:szCs w:val="21"/>
              </w:rPr>
            </w:r>
          </w:p>
        </w:tc>
      </w:tr>
    </w:tbl>
    <w:p>
      <w:pPr>
        <w:pBdr/>
        <w:spacing w:line="360" w:lineRule="auto"/>
        <w:ind/>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sectPr>
      <w:headerReference w:type="default" r:id="rId9"/>
      <w:headerReference w:type="first" r:id="rId10"/>
      <w:footnotePr/>
      <w:endnotePr/>
      <w:type w:val="nextPage"/>
      <w:pgSz w:h="16838" w:orient="portrait" w:w="11905"/>
      <w:pgMar w:top="851" w:right="1440" w:bottom="567" w:left="1440" w:header="794" w:footer="1531" w:gutter="0"/>
      <w:pgNumType w:start="1"/>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tillium Web">
    <w:panose1 w:val="05040102010807070707"/>
  </w:font>
  <w:font w:name="Titilium">
    <w:panose1 w:val="05040102010807070707"/>
  </w:font>
  <w:font w:name="Cambria">
    <w:panose1 w:val="02040503050406030204"/>
  </w:font>
  <w:font w:name="Noto Sans Symbols">
    <w:panose1 w:val="020B0502040504020204"/>
  </w:font>
  <w:font w:name="Times">
    <w:panose1 w:val="05040102010807070707"/>
  </w:font>
  <w:font w:name="Calibri">
    <w:panose1 w:val="020F0502020204030204"/>
  </w:font>
  <w:font w:name="Courier New">
    <w:panose1 w:val="02070409020205020404"/>
  </w:font>
  <w:font w:name="Tahoma">
    <w:panose1 w:val="020B0502040504020204"/>
  </w:font>
  <w:font w:name="Nyala">
    <w:panose1 w:val="02020603050405020304"/>
  </w:font>
  <w:font w:name="Verdana">
    <w:panose1 w:val="020B0602040504020204"/>
  </w:font>
  <w:font w:name="Arial">
    <w:panose1 w:val="020B060402020202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ight="-47" w:left="9"/>
      <w:jc w:val="center"/>
      <w:rPr>
        <w:rFonts w:ascii="Arial" w:hAnsi="Arial" w:eastAsia="Arial" w:cs="Arial"/>
        <w:color w:val="000000"/>
        <w:sz w:val="16"/>
        <w:szCs w:val="16"/>
      </w:rPr>
    </w:pPr>
    <w:r>
      <w:rPr>
        <w:rFonts w:ascii="Arial" w:hAnsi="Arial" w:eastAsia="Arial" w:cs="Arial"/>
        <w:color w:val="000000"/>
        <w:sz w:val="16"/>
        <w:szCs w:val="16"/>
      </w:rPr>
    </w:r>
    <w:r>
      <w:rPr>
        <w:rFonts w:ascii="Arial" w:hAnsi="Arial" w:eastAsia="Arial" w:cs="Arial"/>
        <w:color w:val="000000"/>
        <w:sz w:val="16"/>
        <w:szCs w:val="16"/>
      </w:rPr>
    </w:r>
  </w:p>
  <w:p>
    <w:pPr>
      <w:pBdr/>
      <w:spacing/>
      <w:ind w:firstLine="1" w:left="2"/>
      <w:rPr>
        <w:rFonts w:ascii="Verdana" w:hAnsi="Verdana" w:eastAsia="Verdana" w:cs="Verdana"/>
        <w:color w:val="800000"/>
        <w:sz w:val="16"/>
        <w:szCs w:val="16"/>
      </w:rPr>
    </w:pPr>
    <w:r>
      <w:rPr>
        <w:rFonts w:ascii="Verdana" w:hAnsi="Verdana" w:eastAsia="Verdana" w:cs="Verdana"/>
        <w:color w:val="800000"/>
        <w:sz w:val="16"/>
        <w:szCs w:val="16"/>
      </w:rPr>
    </w:r>
    <w:r>
      <w:rPr>
        <w:rFonts w:ascii="Verdana" w:hAnsi="Verdana" w:eastAsia="Verdana" w:cs="Verdana"/>
        <w:color w:val="800000"/>
        <w:sz w:val="16"/>
        <w:szCs w:val="16"/>
      </w:rPr>
    </w:r>
  </w:p>
  <w:p>
    <w:pPr>
      <w:pBdr>
        <w:top w:val="none" w:color="000000" w:sz="4" w:space="0"/>
        <w:left w:val="none" w:color="000000" w:sz="4" w:space="0"/>
        <w:bottom w:val="none" w:color="000000" w:sz="4" w:space="0"/>
        <w:right w:val="none" w:color="000000" w:sz="4" w:space="0"/>
        <w:between w:val="none" w:color="000000" w:sz="4" w:space="0"/>
      </w:pBdr>
      <w:tabs>
        <w:tab w:val="left" w:leader="none" w:pos="2770"/>
        <w:tab w:val="left" w:leader="none" w:pos="3000"/>
        <w:tab w:val="center" w:leader="none" w:pos="4536"/>
        <w:tab w:val="center" w:leader="none" w:pos="4819"/>
        <w:tab w:val="right" w:leader="none" w:pos="9072"/>
        <w:tab w:val="right" w:leader="none" w:pos="9638"/>
      </w:tabs>
      <w:spacing/>
      <w:ind w:right="360"/>
      <w:rPr>
        <w:rFonts w:ascii="Verdana" w:hAnsi="Verdana" w:eastAsia="Verdana" w:cs="Verdana"/>
        <w:color w:val="800000"/>
        <w:sz w:val="16"/>
        <w:szCs w:val="16"/>
      </w:rPr>
    </w:pPr>
    <w:r>
      <w:rPr>
        <w:rFonts w:ascii="Verdana" w:hAnsi="Verdana" w:eastAsia="Verdana" w:cs="Verdana"/>
        <w:color w:val="800000"/>
        <w:sz w:val="16"/>
        <w:szCs w:val="16"/>
      </w:rPr>
      <w:tab/>
    </w:r>
    <w:r>
      <w:rPr>
        <w:rFonts w:ascii="Verdana" w:hAnsi="Verdana" w:eastAsia="Verdana" w:cs="Verdana"/>
        <w:color w:val="800000"/>
        <w:sz w:val="16"/>
        <w:szCs w:val="16"/>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left="284"/>
      <w:jc w:val="center"/>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ind w:left="284"/>
      <w:jc w:val="center"/>
      <w:rPr>
        <w:b/>
        <w:sz w:val="24"/>
        <w:szCs w:val="24"/>
      </w:rPr>
    </w:pPr>
    <w:r>
      <w:rPr>
        <w:rFonts w:ascii="Titilium" w:hAnsi="Titilium" w:eastAsia="Titilium" w:cs="Titilium"/>
        <w:sz w:val="21"/>
        <w:szCs w:val="21"/>
      </w:rPr>
      <w:t xml:space="preserve">           </w:t>
    </w:r>
    <w:r>
      <w:rPr>
        <w:b/>
        <w:sz w:val="24"/>
        <w:szCs w:val="24"/>
      </w:rPr>
    </w:r>
  </w:p>
  <w:p>
    <w:pPr>
      <w:pBdr/>
      <w:spacing/>
      <w:ind w:left="284"/>
      <w:jc w:val="center"/>
      <w:rPr>
        <w:b/>
        <w:sz w:val="24"/>
        <w:szCs w:val="24"/>
      </w:rPr>
    </w:pPr>
    <w:r>
      <w:rPr>
        <w:b/>
        <w:sz w:val="24"/>
        <w:szCs w:val="24"/>
      </w:rPr>
    </w:r>
    <w:r>
      <w:rPr>
        <w:b/>
        <w:sz w:val="24"/>
        <w:szCs w:val="24"/>
      </w:rPr>
    </w:r>
  </w:p>
  <w:p>
    <w:pPr>
      <w:pBdr/>
      <w:spacing/>
      <w:ind w:left="284"/>
      <w:jc w:val="center"/>
      <w:rPr>
        <w:b/>
        <w:sz w:val="24"/>
        <w:szCs w:val="24"/>
      </w:rPr>
    </w:pPr>
    <w:r>
      <w:rPr>
        <w:b/>
        <w:sz w:val="24"/>
        <w:szCs w:val="24"/>
      </w:rPr>
    </w:r>
    <w:r>
      <w:rPr>
        <w:b/>
        <w:sz w:val="24"/>
        <w:szCs w:val="24"/>
      </w:rPr>
    </w:r>
  </w:p>
  <w:p>
    <w:pPr>
      <w:pBdr/>
      <w:spacing/>
      <w:ind w:left="284"/>
      <w:jc w:val="center"/>
      <w:rPr>
        <w:rFonts w:ascii="Titilium" w:hAnsi="Titilium" w:eastAsia="Titilium" w:cs="Titilium"/>
        <w:b/>
        <w:sz w:val="24"/>
        <w:szCs w:val="24"/>
      </w:rPr>
    </w:pPr>
    <w:r>
      <w:rPr>
        <w:rFonts w:ascii="Titilium" w:hAnsi="Titilium" w:eastAsia="Titilium" w:cs="Titilium"/>
        <w:b/>
        <w:sz w:val="24"/>
        <w:szCs w:val="24"/>
      </w:rPr>
      <w:t xml:space="preserve">DECLARATION IN SUBSTITUTE OF THE NOTARY DEED</w:t>
    </w:r>
    <w:r>
      <w:rPr>
        <w:rFonts w:ascii="Titilium" w:hAnsi="Titilium" w:eastAsia="Titilium" w:cs="Titilium"/>
        <w:b/>
        <w:sz w:val="24"/>
        <w:szCs w:val="24"/>
      </w:rPr>
    </w:r>
  </w:p>
  <w:p>
    <w:pPr>
      <w:pBdr/>
      <w:spacing/>
      <w:ind w:left="284"/>
      <w:jc w:val="center"/>
      <w:rPr>
        <w:rFonts w:ascii="Titilium" w:hAnsi="Titilium" w:eastAsia="Titilium" w:cs="Titilium"/>
        <w:i/>
        <w:sz w:val="18"/>
        <w:szCs w:val="18"/>
      </w:rPr>
    </w:pPr>
    <w:r>
      <w:rPr>
        <w:rFonts w:ascii="Titilium" w:hAnsi="Titilium" w:eastAsia="Titilium" w:cs="Titilium"/>
        <w:i/>
        <w:sz w:val="18"/>
        <w:szCs w:val="18"/>
      </w:rPr>
      <w:t xml:space="preserve">pursuant to art. 47 of the Presidential Decree of 28 December 2000, n. 445</w:t>
    </w:r>
    <w:r>
      <w:rPr>
        <w:rFonts w:ascii="Titilium" w:hAnsi="Titilium" w:eastAsia="Titilium" w:cs="Titilium"/>
        <w:i/>
        <w:sz w:val="18"/>
        <w:szCs w:val="18"/>
      </w:rPr>
    </w:r>
  </w:p>
  <w:p>
    <w:pPr>
      <w:pBdr/>
      <w:spacing/>
      <w:ind w:right="-47" w:left="9"/>
      <w:jc w:val="center"/>
      <w:rPr>
        <w:rFonts w:ascii="Titilium" w:hAnsi="Titilium" w:eastAsia="Titilium" w:cs="Titilium"/>
        <w:i/>
      </w:rPr>
    </w:pPr>
    <w:r>
      <w:rPr>
        <w:rFonts w:ascii="Titilium" w:hAnsi="Titilium" w:eastAsia="Titilium" w:cs="Titilium"/>
        <w:i/>
      </w:rPr>
    </w:r>
    <w:r>
      <w:rPr>
        <w:rFonts w:ascii="Titilium" w:hAnsi="Titilium" w:eastAsia="Titilium" w:cs="Titilium"/>
        <w:i/>
      </w:rPr>
    </w:r>
  </w:p>
  <w:p>
    <w:pPr>
      <w:pBdr/>
      <w:spacing/>
      <w:ind w:right="-47" w:left="9"/>
      <w:jc w:val="center"/>
      <w:rPr>
        <w:rFonts w:ascii="Titilium" w:hAnsi="Titilium" w:eastAsia="Titilium" w:cs="Titilium"/>
        <w:i/>
      </w:rPr>
    </w:pPr>
    <w:r>
      <w:rPr>
        <w:rFonts w:ascii="Titilium" w:hAnsi="Titilium" w:eastAsia="Titilium" w:cs="Titilium"/>
        <w:i/>
      </w:rPr>
      <w:t xml:space="preserve">in compliance with the provisions of Legislative Decree 21 November 2007, n. 231 and subsequent implementing provisions issued by the Bank of Italy on 23 December 2009</w:t>
    </w:r>
    <w:r>
      <w:rPr>
        <w:rFonts w:ascii="Titilium" w:hAnsi="Titilium" w:eastAsia="Titilium" w:cs="Titilium"/>
        <w:i/>
      </w:rPr>
    </w:r>
  </w:p>
  <w:p>
    <w:pPr>
      <w:pBdr/>
      <w:spacing/>
      <w:ind w:right="-47" w:left="9"/>
      <w:jc w:val="center"/>
      <w:rPr>
        <w:rFonts w:ascii="Titilium" w:hAnsi="Titilium" w:eastAsia="Titilium" w:cs="Titilium"/>
      </w:rPr>
    </w:pPr>
    <w:r>
      <w:rPr>
        <w:rFonts w:ascii="Titilium" w:hAnsi="Titilium" w:eastAsia="Titilium" w:cs="Titilium"/>
        <w:i/>
      </w:rPr>
      <w:t xml:space="preserve">(Anti-money laundering prevention rules)</w:t>
    </w:r>
    <w:r>
      <w:rPr>
        <w:rFonts w:ascii="Titilium" w:hAnsi="Titilium" w:eastAsia="Titilium" w:cs="Titilium"/>
        <w:color w:val="800000"/>
        <w:sz w:val="16"/>
        <w:szCs w:val="16"/>
      </w:rPr>
      <w:tab/>
    </w:r>
    <w:r>
      <w:rPr>
        <w:rFonts w:ascii="Titilium" w:hAnsi="Titilium" w:eastAsia="Titilium" w:cs="Titilium"/>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1"/>
      </w:pPr>
      <w:rPr/>
      <w:start w:val="1"/>
      <w:suff w:val="tab"/>
    </w:lvl>
    <w:lvl w:ilvl="1">
      <w:isLgl w:val="false"/>
      <w:lvlJc w:val="left"/>
      <w:lvlText w:val="o"/>
      <w:numFmt w:val="bullet"/>
      <w:pPr>
        <w:pBdr/>
        <w:spacing/>
        <w:ind w:hanging="360" w:left="1441"/>
      </w:pPr>
      <w:rPr>
        <w:rFonts w:ascii="Courier New" w:hAnsi="Courier New" w:eastAsia="Courier New" w:cs="Courier New"/>
      </w:rPr>
      <w:start w:val="1"/>
      <w:suff w:val="tab"/>
    </w:lvl>
    <w:lvl w:ilvl="2">
      <w:isLgl w:val="false"/>
      <w:lvlJc w:val="left"/>
      <w:lvlText w:val="▪"/>
      <w:numFmt w:val="bullet"/>
      <w:pPr>
        <w:pBdr/>
        <w:spacing/>
        <w:ind w:hanging="360" w:left="2161"/>
      </w:pPr>
      <w:rPr>
        <w:rFonts w:ascii="Noto Sans Symbols" w:hAnsi="Noto Sans Symbols" w:eastAsia="Noto Sans Symbols" w:cs="Noto Sans Symbols"/>
      </w:rPr>
      <w:start w:val="1"/>
      <w:suff w:val="tab"/>
    </w:lvl>
    <w:lvl w:ilvl="3">
      <w:isLgl w:val="false"/>
      <w:lvlJc w:val="left"/>
      <w:lvlText w:val="●"/>
      <w:numFmt w:val="bullet"/>
      <w:pPr>
        <w:pBdr/>
        <w:spacing/>
        <w:ind w:hanging="360" w:left="2881"/>
      </w:pPr>
      <w:rPr>
        <w:rFonts w:ascii="Noto Sans Symbols" w:hAnsi="Noto Sans Symbols" w:eastAsia="Noto Sans Symbols" w:cs="Noto Sans Symbols"/>
      </w:rPr>
      <w:start w:val="1"/>
      <w:suff w:val="tab"/>
    </w:lvl>
    <w:lvl w:ilvl="4">
      <w:isLgl w:val="false"/>
      <w:lvlJc w:val="left"/>
      <w:lvlText w:val="o"/>
      <w:numFmt w:val="bullet"/>
      <w:pPr>
        <w:pBdr/>
        <w:spacing/>
        <w:ind w:hanging="360" w:left="3601"/>
      </w:pPr>
      <w:rPr>
        <w:rFonts w:ascii="Courier New" w:hAnsi="Courier New" w:eastAsia="Courier New" w:cs="Courier New"/>
      </w:rPr>
      <w:start w:val="1"/>
      <w:suff w:val="tab"/>
    </w:lvl>
    <w:lvl w:ilvl="5">
      <w:isLgl w:val="false"/>
      <w:lvlJc w:val="left"/>
      <w:lvlText w:val="▪"/>
      <w:numFmt w:val="bullet"/>
      <w:pPr>
        <w:pBdr/>
        <w:spacing/>
        <w:ind w:hanging="360" w:left="4321"/>
      </w:pPr>
      <w:rPr>
        <w:rFonts w:ascii="Noto Sans Symbols" w:hAnsi="Noto Sans Symbols" w:eastAsia="Noto Sans Symbols" w:cs="Noto Sans Symbols"/>
      </w:rPr>
      <w:start w:val="1"/>
      <w:suff w:val="tab"/>
    </w:lvl>
    <w:lvl w:ilvl="6">
      <w:isLgl w:val="false"/>
      <w:lvlJc w:val="left"/>
      <w:lvlText w:val="●"/>
      <w:numFmt w:val="bullet"/>
      <w:pPr>
        <w:pBdr/>
        <w:spacing/>
        <w:ind w:hanging="360" w:left="5041"/>
      </w:pPr>
      <w:rPr>
        <w:rFonts w:ascii="Noto Sans Symbols" w:hAnsi="Noto Sans Symbols" w:eastAsia="Noto Sans Symbols" w:cs="Noto Sans Symbols"/>
      </w:rPr>
      <w:start w:val="1"/>
      <w:suff w:val="tab"/>
    </w:lvl>
    <w:lvl w:ilvl="7">
      <w:isLgl w:val="false"/>
      <w:lvlJc w:val="left"/>
      <w:lvlText w:val="o"/>
      <w:numFmt w:val="bullet"/>
      <w:pPr>
        <w:pBdr/>
        <w:spacing/>
        <w:ind w:hanging="360" w:left="5761"/>
      </w:pPr>
      <w:rPr>
        <w:rFonts w:ascii="Courier New" w:hAnsi="Courier New" w:eastAsia="Courier New" w:cs="Courier New"/>
      </w:rPr>
      <w:start w:val="1"/>
      <w:suff w:val="tab"/>
    </w:lvl>
    <w:lvl w:ilvl="8">
      <w:isLgl w:val="false"/>
      <w:lvlJc w:val="left"/>
      <w:lvlText w:val="▪"/>
      <w:numFmt w:val="bullet"/>
      <w:pPr>
        <w:pBdr/>
        <w:spacing/>
        <w:ind w:hanging="360" w:left="6481"/>
      </w:pPr>
      <w:rPr>
        <w:rFonts w:ascii="Noto Sans Symbols" w:hAnsi="Noto Sans Symbols" w:eastAsia="Noto Sans Symbols" w:cs="Noto Sans Symbols"/>
      </w:rPr>
      <w:start w:val="1"/>
      <w:suff w:val="tab"/>
    </w:lvl>
  </w:abstractNum>
  <w:abstractNum w:abstractNumId="1">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2">
    <w:lvl w:ilvl="0">
      <w:isLgl w:val="false"/>
      <w:lvlJc w:val="left"/>
      <w:lvlText w:val="%1."/>
      <w:numFmt w:val="decimal"/>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en" w:eastAsia="it-IT"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65"/>
    <w:next w:val="765"/>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65"/>
    <w:next w:val="765"/>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65"/>
    <w:next w:val="765"/>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72"/>
    <w:link w:val="766"/>
    <w:uiPriority w:val="9"/>
    <w:pPr>
      <w:pBdr/>
      <w:spacing/>
      <w:ind/>
    </w:pPr>
    <w:rPr>
      <w:rFonts w:ascii="Arial" w:hAnsi="Arial" w:eastAsia="Arial" w:cs="Arial"/>
      <w:color w:val="0f4761" w:themeColor="accent1" w:themeShade="BF"/>
      <w:sz w:val="40"/>
      <w:szCs w:val="40"/>
    </w:rPr>
  </w:style>
  <w:style w:type="character" w:styleId="150">
    <w:name w:val="Heading 2 Char"/>
    <w:basedOn w:val="772"/>
    <w:link w:val="767"/>
    <w:uiPriority w:val="9"/>
    <w:pPr>
      <w:pBdr/>
      <w:spacing/>
      <w:ind/>
    </w:pPr>
    <w:rPr>
      <w:rFonts w:ascii="Arial" w:hAnsi="Arial" w:eastAsia="Arial" w:cs="Arial"/>
      <w:color w:val="0f4761" w:themeColor="accent1" w:themeShade="BF"/>
      <w:sz w:val="32"/>
      <w:szCs w:val="32"/>
    </w:rPr>
  </w:style>
  <w:style w:type="character" w:styleId="151">
    <w:name w:val="Heading 3 Char"/>
    <w:basedOn w:val="772"/>
    <w:link w:val="768"/>
    <w:uiPriority w:val="9"/>
    <w:pPr>
      <w:pBdr/>
      <w:spacing/>
      <w:ind/>
    </w:pPr>
    <w:rPr>
      <w:rFonts w:ascii="Arial" w:hAnsi="Arial" w:eastAsia="Arial" w:cs="Arial"/>
      <w:color w:val="0f4761" w:themeColor="accent1" w:themeShade="BF"/>
      <w:sz w:val="28"/>
      <w:szCs w:val="28"/>
    </w:rPr>
  </w:style>
  <w:style w:type="character" w:styleId="152">
    <w:name w:val="Heading 4 Char"/>
    <w:basedOn w:val="772"/>
    <w:link w:val="769"/>
    <w:uiPriority w:val="9"/>
    <w:pPr>
      <w:pBdr/>
      <w:spacing/>
      <w:ind/>
    </w:pPr>
    <w:rPr>
      <w:rFonts w:ascii="Arial" w:hAnsi="Arial" w:eastAsia="Arial" w:cs="Arial"/>
      <w:i/>
      <w:iCs/>
      <w:color w:val="0f4761" w:themeColor="accent1" w:themeShade="BF"/>
    </w:rPr>
  </w:style>
  <w:style w:type="character" w:styleId="153">
    <w:name w:val="Heading 5 Char"/>
    <w:basedOn w:val="772"/>
    <w:link w:val="770"/>
    <w:uiPriority w:val="9"/>
    <w:pPr>
      <w:pBdr/>
      <w:spacing/>
      <w:ind/>
    </w:pPr>
    <w:rPr>
      <w:rFonts w:ascii="Arial" w:hAnsi="Arial" w:eastAsia="Arial" w:cs="Arial"/>
      <w:color w:val="0f4761" w:themeColor="accent1" w:themeShade="BF"/>
    </w:rPr>
  </w:style>
  <w:style w:type="character" w:styleId="154">
    <w:name w:val="Heading 6 Char"/>
    <w:basedOn w:val="772"/>
    <w:link w:val="771"/>
    <w:uiPriority w:val="9"/>
    <w:pPr>
      <w:pBdr/>
      <w:spacing/>
      <w:ind/>
    </w:pPr>
    <w:rPr>
      <w:rFonts w:ascii="Arial" w:hAnsi="Arial" w:eastAsia="Arial" w:cs="Arial"/>
      <w:i/>
      <w:iCs/>
      <w:color w:val="595959" w:themeColor="text1" w:themeTint="A6"/>
    </w:rPr>
  </w:style>
  <w:style w:type="character" w:styleId="155">
    <w:name w:val="Heading 7 Char"/>
    <w:basedOn w:val="772"/>
    <w:link w:val="144"/>
    <w:uiPriority w:val="9"/>
    <w:pPr>
      <w:pBdr/>
      <w:spacing/>
      <w:ind/>
    </w:pPr>
    <w:rPr>
      <w:rFonts w:ascii="Arial" w:hAnsi="Arial" w:eastAsia="Arial" w:cs="Arial"/>
      <w:color w:val="595959" w:themeColor="text1" w:themeTint="A6"/>
    </w:rPr>
  </w:style>
  <w:style w:type="character" w:styleId="156">
    <w:name w:val="Heading 8 Char"/>
    <w:basedOn w:val="772"/>
    <w:link w:val="145"/>
    <w:uiPriority w:val="9"/>
    <w:pPr>
      <w:pBdr/>
      <w:spacing/>
      <w:ind/>
    </w:pPr>
    <w:rPr>
      <w:rFonts w:ascii="Arial" w:hAnsi="Arial" w:eastAsia="Arial" w:cs="Arial"/>
      <w:i/>
      <w:iCs/>
      <w:color w:val="272727" w:themeColor="text1" w:themeTint="D8"/>
    </w:rPr>
  </w:style>
  <w:style w:type="character" w:styleId="157">
    <w:name w:val="Heading 9 Char"/>
    <w:basedOn w:val="772"/>
    <w:link w:val="146"/>
    <w:uiPriority w:val="9"/>
    <w:pPr>
      <w:pBdr/>
      <w:spacing/>
      <w:ind/>
    </w:pPr>
    <w:rPr>
      <w:rFonts w:ascii="Arial" w:hAnsi="Arial" w:eastAsia="Arial" w:cs="Arial"/>
      <w:i/>
      <w:iCs/>
      <w:color w:val="272727" w:themeColor="text1" w:themeTint="D8"/>
    </w:rPr>
  </w:style>
  <w:style w:type="character" w:styleId="159">
    <w:name w:val="Title Char"/>
    <w:basedOn w:val="772"/>
    <w:link w:val="776"/>
    <w:uiPriority w:val="10"/>
    <w:pPr>
      <w:pBdr/>
      <w:spacing/>
      <w:ind/>
    </w:pPr>
    <w:rPr>
      <w:rFonts w:ascii="Arial" w:hAnsi="Arial" w:eastAsia="Arial" w:cs="Arial"/>
      <w:spacing w:val="-10"/>
      <w:sz w:val="56"/>
      <w:szCs w:val="56"/>
    </w:rPr>
  </w:style>
  <w:style w:type="character" w:styleId="161">
    <w:name w:val="Subtitle Char"/>
    <w:basedOn w:val="772"/>
    <w:link w:val="779"/>
    <w:uiPriority w:val="11"/>
    <w:pPr>
      <w:pBdr/>
      <w:spacing/>
      <w:ind/>
    </w:pPr>
    <w:rPr>
      <w:color w:val="595959" w:themeColor="text1" w:themeTint="A6"/>
      <w:spacing w:val="15"/>
      <w:sz w:val="28"/>
      <w:szCs w:val="28"/>
    </w:rPr>
  </w:style>
  <w:style w:type="paragraph" w:styleId="162">
    <w:name w:val="Quote"/>
    <w:basedOn w:val="765"/>
    <w:next w:val="765"/>
    <w:link w:val="163"/>
    <w:uiPriority w:val="29"/>
    <w:qFormat/>
    <w:pPr>
      <w:pBdr/>
      <w:spacing w:before="160"/>
      <w:ind/>
      <w:jc w:val="center"/>
    </w:pPr>
    <w:rPr>
      <w:i/>
      <w:iCs/>
      <w:color w:val="404040" w:themeColor="text1" w:themeTint="BF"/>
    </w:rPr>
  </w:style>
  <w:style w:type="character" w:styleId="163">
    <w:name w:val="Quote Char"/>
    <w:basedOn w:val="772"/>
    <w:link w:val="162"/>
    <w:uiPriority w:val="29"/>
    <w:pPr>
      <w:pBdr/>
      <w:spacing/>
      <w:ind/>
    </w:pPr>
    <w:rPr>
      <w:i/>
      <w:iCs/>
      <w:color w:val="404040" w:themeColor="text1" w:themeTint="BF"/>
    </w:rPr>
  </w:style>
  <w:style w:type="character" w:styleId="165">
    <w:name w:val="Intense Emphasis"/>
    <w:basedOn w:val="772"/>
    <w:uiPriority w:val="21"/>
    <w:qFormat/>
    <w:pPr>
      <w:pBdr/>
      <w:spacing/>
      <w:ind/>
    </w:pPr>
    <w:rPr>
      <w:i/>
      <w:iCs/>
      <w:color w:val="0f4761" w:themeColor="accent1" w:themeShade="BF"/>
    </w:rPr>
  </w:style>
  <w:style w:type="paragraph" w:styleId="166">
    <w:name w:val="Intense Quote"/>
    <w:basedOn w:val="765"/>
    <w:next w:val="765"/>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2"/>
    <w:link w:val="166"/>
    <w:uiPriority w:val="30"/>
    <w:pPr>
      <w:pBdr/>
      <w:spacing/>
      <w:ind/>
    </w:pPr>
    <w:rPr>
      <w:i/>
      <w:iCs/>
      <w:color w:val="0f4761" w:themeColor="accent1" w:themeShade="BF"/>
    </w:rPr>
  </w:style>
  <w:style w:type="character" w:styleId="168">
    <w:name w:val="Intense Reference"/>
    <w:basedOn w:val="772"/>
    <w:uiPriority w:val="32"/>
    <w:qFormat/>
    <w:pPr>
      <w:pBdr/>
      <w:spacing/>
      <w:ind/>
    </w:pPr>
    <w:rPr>
      <w:b/>
      <w:bCs/>
      <w:smallCaps/>
      <w:color w:val="0f4761" w:themeColor="accent1" w:themeShade="BF"/>
      <w:spacing w:val="5"/>
    </w:rPr>
  </w:style>
  <w:style w:type="paragraph" w:styleId="169">
    <w:name w:val="No Spacing"/>
    <w:basedOn w:val="765"/>
    <w:uiPriority w:val="1"/>
    <w:qFormat/>
    <w:pPr>
      <w:pBdr/>
      <w:spacing w:after="0" w:line="240" w:lineRule="auto"/>
      <w:ind/>
    </w:pPr>
  </w:style>
  <w:style w:type="character" w:styleId="170">
    <w:name w:val="Subtle Emphasis"/>
    <w:basedOn w:val="772"/>
    <w:uiPriority w:val="19"/>
    <w:qFormat/>
    <w:pPr>
      <w:pBdr/>
      <w:spacing/>
      <w:ind/>
    </w:pPr>
    <w:rPr>
      <w:i/>
      <w:iCs/>
      <w:color w:val="404040" w:themeColor="text1" w:themeTint="BF"/>
    </w:rPr>
  </w:style>
  <w:style w:type="character" w:styleId="171">
    <w:name w:val="Emphasis"/>
    <w:basedOn w:val="772"/>
    <w:uiPriority w:val="20"/>
    <w:qFormat/>
    <w:pPr>
      <w:pBdr/>
      <w:spacing/>
      <w:ind/>
    </w:pPr>
    <w:rPr>
      <w:i/>
      <w:iCs/>
    </w:rPr>
  </w:style>
  <w:style w:type="character" w:styleId="172">
    <w:name w:val="Strong"/>
    <w:basedOn w:val="772"/>
    <w:uiPriority w:val="22"/>
    <w:qFormat/>
    <w:pPr>
      <w:pBdr/>
      <w:spacing/>
      <w:ind/>
    </w:pPr>
    <w:rPr>
      <w:b/>
      <w:bCs/>
    </w:rPr>
  </w:style>
  <w:style w:type="character" w:styleId="173">
    <w:name w:val="Subtle Reference"/>
    <w:basedOn w:val="772"/>
    <w:uiPriority w:val="31"/>
    <w:qFormat/>
    <w:pPr>
      <w:pBdr/>
      <w:spacing/>
      <w:ind/>
    </w:pPr>
    <w:rPr>
      <w:smallCaps/>
      <w:color w:val="5a5a5a" w:themeColor="text1" w:themeTint="A5"/>
    </w:rPr>
  </w:style>
  <w:style w:type="character" w:styleId="174">
    <w:name w:val="Book Title"/>
    <w:basedOn w:val="772"/>
    <w:uiPriority w:val="33"/>
    <w:qFormat/>
    <w:pPr>
      <w:pBdr/>
      <w:spacing/>
      <w:ind/>
    </w:pPr>
    <w:rPr>
      <w:b/>
      <w:bCs/>
      <w:i/>
      <w:iCs/>
      <w:spacing w:val="5"/>
    </w:rPr>
  </w:style>
  <w:style w:type="character" w:styleId="176">
    <w:name w:val="Header Char"/>
    <w:basedOn w:val="772"/>
    <w:link w:val="789"/>
    <w:uiPriority w:val="99"/>
    <w:pPr>
      <w:pBdr/>
      <w:spacing/>
      <w:ind/>
    </w:pPr>
  </w:style>
  <w:style w:type="character" w:styleId="178">
    <w:name w:val="Footer Char"/>
    <w:basedOn w:val="772"/>
    <w:link w:val="790"/>
    <w:uiPriority w:val="99"/>
    <w:pPr>
      <w:pBdr/>
      <w:spacing/>
      <w:ind/>
    </w:pPr>
  </w:style>
  <w:style w:type="paragraph" w:styleId="179">
    <w:name w:val="Caption"/>
    <w:basedOn w:val="765"/>
    <w:next w:val="765"/>
    <w:uiPriority w:val="35"/>
    <w:unhideWhenUsed/>
    <w:qFormat/>
    <w:pPr>
      <w:pBdr/>
      <w:spacing w:after="200" w:line="240" w:lineRule="auto"/>
      <w:ind/>
    </w:pPr>
    <w:rPr>
      <w:i/>
      <w:iCs/>
      <w:color w:val="0e2841" w:themeColor="text2"/>
      <w:sz w:val="18"/>
      <w:szCs w:val="18"/>
    </w:rPr>
  </w:style>
  <w:style w:type="character" w:styleId="181">
    <w:name w:val="Footnote Text Char"/>
    <w:basedOn w:val="772"/>
    <w:link w:val="801"/>
    <w:uiPriority w:val="99"/>
    <w:semiHidden/>
    <w:pPr>
      <w:pBdr/>
      <w:spacing/>
      <w:ind/>
    </w:pPr>
    <w:rPr>
      <w:sz w:val="20"/>
      <w:szCs w:val="20"/>
    </w:rPr>
  </w:style>
  <w:style w:type="character" w:styleId="182">
    <w:name w:val="footnote reference"/>
    <w:basedOn w:val="772"/>
    <w:uiPriority w:val="99"/>
    <w:semiHidden/>
    <w:unhideWhenUsed/>
    <w:pPr>
      <w:pBdr/>
      <w:spacing/>
      <w:ind/>
    </w:pPr>
    <w:rPr>
      <w:vertAlign w:val="superscript"/>
    </w:rPr>
  </w:style>
  <w:style w:type="paragraph" w:styleId="183">
    <w:name w:val="endnote text"/>
    <w:basedOn w:val="765"/>
    <w:link w:val="184"/>
    <w:uiPriority w:val="99"/>
    <w:semiHidden/>
    <w:unhideWhenUsed/>
    <w:pPr>
      <w:pBdr/>
      <w:spacing w:after="0" w:line="240" w:lineRule="auto"/>
      <w:ind/>
    </w:pPr>
    <w:rPr>
      <w:sz w:val="20"/>
      <w:szCs w:val="20"/>
    </w:rPr>
  </w:style>
  <w:style w:type="character" w:styleId="184">
    <w:name w:val="Endnote Text Char"/>
    <w:basedOn w:val="772"/>
    <w:link w:val="183"/>
    <w:uiPriority w:val="99"/>
    <w:semiHidden/>
    <w:pPr>
      <w:pBdr/>
      <w:spacing/>
      <w:ind/>
    </w:pPr>
    <w:rPr>
      <w:sz w:val="20"/>
      <w:szCs w:val="20"/>
    </w:rPr>
  </w:style>
  <w:style w:type="character" w:styleId="185">
    <w:name w:val="endnote reference"/>
    <w:basedOn w:val="772"/>
    <w:uiPriority w:val="99"/>
    <w:semiHidden/>
    <w:unhideWhenUsed/>
    <w:pPr>
      <w:pBdr/>
      <w:spacing/>
      <w:ind/>
    </w:pPr>
    <w:rPr>
      <w:vertAlign w:val="superscript"/>
    </w:rPr>
  </w:style>
  <w:style w:type="character" w:styleId="187">
    <w:name w:val="FollowedHyperlink"/>
    <w:basedOn w:val="772"/>
    <w:uiPriority w:val="99"/>
    <w:semiHidden/>
    <w:unhideWhenUsed/>
    <w:pPr>
      <w:pBdr/>
      <w:spacing/>
      <w:ind/>
    </w:pPr>
    <w:rPr>
      <w:color w:val="954f72" w:themeColor="followedHyperlink"/>
      <w:u w:val="single"/>
    </w:rPr>
  </w:style>
  <w:style w:type="paragraph" w:styleId="188">
    <w:name w:val="toc 1"/>
    <w:basedOn w:val="765"/>
    <w:next w:val="765"/>
    <w:uiPriority w:val="39"/>
    <w:unhideWhenUsed/>
    <w:pPr>
      <w:pBdr/>
      <w:spacing w:after="100"/>
      <w:ind/>
    </w:pPr>
  </w:style>
  <w:style w:type="paragraph" w:styleId="189">
    <w:name w:val="toc 2"/>
    <w:basedOn w:val="765"/>
    <w:next w:val="765"/>
    <w:uiPriority w:val="39"/>
    <w:unhideWhenUsed/>
    <w:pPr>
      <w:pBdr/>
      <w:spacing w:after="100"/>
      <w:ind w:left="220"/>
    </w:pPr>
  </w:style>
  <w:style w:type="paragraph" w:styleId="190">
    <w:name w:val="toc 3"/>
    <w:basedOn w:val="765"/>
    <w:next w:val="765"/>
    <w:uiPriority w:val="39"/>
    <w:unhideWhenUsed/>
    <w:pPr>
      <w:pBdr/>
      <w:spacing w:after="100"/>
      <w:ind w:left="440"/>
    </w:pPr>
  </w:style>
  <w:style w:type="paragraph" w:styleId="191">
    <w:name w:val="toc 4"/>
    <w:basedOn w:val="765"/>
    <w:next w:val="765"/>
    <w:uiPriority w:val="39"/>
    <w:unhideWhenUsed/>
    <w:pPr>
      <w:pBdr/>
      <w:spacing w:after="100"/>
      <w:ind w:left="660"/>
    </w:pPr>
  </w:style>
  <w:style w:type="paragraph" w:styleId="192">
    <w:name w:val="toc 5"/>
    <w:basedOn w:val="765"/>
    <w:next w:val="765"/>
    <w:uiPriority w:val="39"/>
    <w:unhideWhenUsed/>
    <w:pPr>
      <w:pBdr/>
      <w:spacing w:after="100"/>
      <w:ind w:left="880"/>
    </w:pPr>
  </w:style>
  <w:style w:type="paragraph" w:styleId="193">
    <w:name w:val="toc 6"/>
    <w:basedOn w:val="765"/>
    <w:next w:val="765"/>
    <w:uiPriority w:val="39"/>
    <w:unhideWhenUsed/>
    <w:pPr>
      <w:pBdr/>
      <w:spacing w:after="100"/>
      <w:ind w:left="1100"/>
    </w:pPr>
  </w:style>
  <w:style w:type="paragraph" w:styleId="194">
    <w:name w:val="toc 7"/>
    <w:basedOn w:val="765"/>
    <w:next w:val="765"/>
    <w:uiPriority w:val="39"/>
    <w:unhideWhenUsed/>
    <w:pPr>
      <w:pBdr/>
      <w:spacing w:after="100"/>
      <w:ind w:left="1320"/>
    </w:pPr>
  </w:style>
  <w:style w:type="paragraph" w:styleId="195">
    <w:name w:val="toc 8"/>
    <w:basedOn w:val="765"/>
    <w:next w:val="765"/>
    <w:uiPriority w:val="39"/>
    <w:unhideWhenUsed/>
    <w:pPr>
      <w:pBdr/>
      <w:spacing w:after="100"/>
      <w:ind w:left="1540"/>
    </w:pPr>
  </w:style>
  <w:style w:type="paragraph" w:styleId="196">
    <w:name w:val="toc 9"/>
    <w:basedOn w:val="765"/>
    <w:next w:val="765"/>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65"/>
    <w:next w:val="765"/>
    <w:uiPriority w:val="99"/>
    <w:unhideWhenUsed/>
    <w:pPr>
      <w:pBdr/>
      <w:spacing w:after="0" w:afterAutospacing="0"/>
      <w:ind/>
    </w:pPr>
  </w:style>
  <w:style w:type="paragraph" w:styleId="765" w:default="1">
    <w:name w:val="Normal"/>
    <w:qFormat/>
    <w:pPr>
      <w:pBdr/>
      <w:spacing/>
      <w:ind/>
    </w:pPr>
  </w:style>
  <w:style w:type="paragraph" w:styleId="766">
    <w:name w:val="Heading 1"/>
    <w:basedOn w:val="765"/>
    <w:next w:val="765"/>
    <w:uiPriority w:val="9"/>
    <w:qFormat/>
    <w:pPr>
      <w:keepNext w:val="true"/>
      <w:pBdr/>
      <w:spacing/>
      <w:ind/>
      <w:jc w:val="center"/>
      <w:outlineLvl w:val="0"/>
    </w:pPr>
    <w:rPr>
      <w:i/>
    </w:rPr>
  </w:style>
  <w:style w:type="paragraph" w:styleId="767">
    <w:name w:val="Heading 2"/>
    <w:basedOn w:val="765"/>
    <w:next w:val="765"/>
    <w:uiPriority w:val="9"/>
    <w:semiHidden/>
    <w:unhideWhenUsed/>
    <w:qFormat/>
    <w:pPr>
      <w:keepNext w:val="true"/>
      <w:keepLines w:val="true"/>
      <w:pBdr/>
      <w:spacing w:after="80" w:before="360"/>
      <w:ind/>
      <w:outlineLvl w:val="1"/>
    </w:pPr>
    <w:rPr>
      <w:b/>
      <w:sz w:val="36"/>
      <w:szCs w:val="36"/>
    </w:rPr>
  </w:style>
  <w:style w:type="paragraph" w:styleId="768">
    <w:name w:val="Heading 3"/>
    <w:basedOn w:val="765"/>
    <w:next w:val="765"/>
    <w:uiPriority w:val="9"/>
    <w:semiHidden/>
    <w:unhideWhenUsed/>
    <w:qFormat/>
    <w:pPr>
      <w:keepNext w:val="true"/>
      <w:keepLines w:val="true"/>
      <w:pBdr/>
      <w:spacing w:after="80" w:before="280"/>
      <w:ind/>
      <w:outlineLvl w:val="2"/>
    </w:pPr>
    <w:rPr>
      <w:b/>
      <w:sz w:val="28"/>
      <w:szCs w:val="28"/>
    </w:rPr>
  </w:style>
  <w:style w:type="paragraph" w:styleId="769">
    <w:name w:val="Heading 4"/>
    <w:basedOn w:val="765"/>
    <w:next w:val="765"/>
    <w:uiPriority w:val="9"/>
    <w:semiHidden/>
    <w:unhideWhenUsed/>
    <w:qFormat/>
    <w:pPr>
      <w:keepNext w:val="true"/>
      <w:keepLines w:val="true"/>
      <w:pBdr/>
      <w:spacing w:after="40" w:before="240"/>
      <w:ind/>
      <w:outlineLvl w:val="3"/>
    </w:pPr>
    <w:rPr>
      <w:b/>
      <w:sz w:val="24"/>
      <w:szCs w:val="24"/>
    </w:rPr>
  </w:style>
  <w:style w:type="paragraph" w:styleId="770">
    <w:name w:val="Heading 5"/>
    <w:basedOn w:val="765"/>
    <w:next w:val="765"/>
    <w:uiPriority w:val="9"/>
    <w:semiHidden/>
    <w:unhideWhenUsed/>
    <w:qFormat/>
    <w:pPr>
      <w:keepNext w:val="true"/>
      <w:keepLines w:val="true"/>
      <w:pBdr/>
      <w:spacing w:after="40" w:before="220"/>
      <w:ind/>
      <w:outlineLvl w:val="4"/>
    </w:pPr>
    <w:rPr>
      <w:b/>
      <w:sz w:val="22"/>
      <w:szCs w:val="22"/>
    </w:rPr>
  </w:style>
  <w:style w:type="paragraph" w:styleId="771">
    <w:name w:val="Heading 6"/>
    <w:basedOn w:val="765"/>
    <w:next w:val="765"/>
    <w:uiPriority w:val="9"/>
    <w:semiHidden/>
    <w:unhideWhenUsed/>
    <w:qFormat/>
    <w:pPr>
      <w:keepNext w:val="true"/>
      <w:keepLines w:val="true"/>
      <w:pBdr/>
      <w:spacing w:after="40" w:before="200"/>
      <w:ind/>
      <w:outlineLvl w:val="5"/>
    </w:pPr>
    <w:rPr>
      <w:b/>
    </w:rPr>
  </w:style>
  <w:style w:type="character" w:styleId="772" w:default="1">
    <w:name w:val="Default Paragraph Font"/>
    <w:uiPriority w:val="1"/>
    <w:semiHidden/>
    <w:unhideWhenUsed/>
    <w:pPr>
      <w:pBdr/>
      <w:spacing/>
      <w:ind/>
    </w:pPr>
  </w:style>
  <w:style w:type="table" w:styleId="77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4" w:default="1">
    <w:name w:val="No List"/>
    <w:uiPriority w:val="99"/>
    <w:semiHidden/>
    <w:unhideWhenUsed/>
    <w:pPr>
      <w:pBdr/>
      <w:spacing/>
      <w:ind/>
    </w:pPr>
  </w:style>
  <w:style w:type="table" w:styleId="775"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6">
    <w:name w:val="Title"/>
    <w:basedOn w:val="765"/>
    <w:uiPriority w:val="10"/>
    <w:qFormat/>
    <w:pPr>
      <w:keepNext w:val="true"/>
      <w:keepLines w:val="true"/>
      <w:pBdr/>
      <w:spacing w:after="73" w:before="141"/>
      <w:ind/>
      <w:jc w:val="center"/>
    </w:pPr>
    <w:rPr>
      <w:rFonts w:ascii="Arial" w:hAnsi="Arial"/>
      <w:b/>
      <w:sz w:val="36"/>
    </w:rPr>
  </w:style>
  <w:style w:type="table" w:styleId="777"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79">
    <w:name w:val="Subtitle"/>
    <w:basedOn w:val="765"/>
    <w:next w:val="765"/>
    <w:uiPriority w:val="11"/>
    <w:qFormat/>
    <w:pPr>
      <w:pBdr>
        <w:top w:val="none" w:color="000000" w:sz="4" w:space="0"/>
        <w:left w:val="none" w:color="000000" w:sz="4" w:space="0"/>
        <w:bottom w:val="none" w:color="000000" w:sz="4" w:space="0"/>
        <w:right w:val="none" w:color="000000" w:sz="4" w:space="0"/>
        <w:between w:val="none" w:color="000000" w:sz="4" w:space="0"/>
      </w:pBdr>
      <w:spacing w:after="73" w:before="73"/>
      <w:ind/>
    </w:pPr>
    <w:rPr>
      <w:color w:val="000000"/>
    </w:rPr>
  </w:style>
  <w:style w:type="paragraph" w:styleId="780" w:customStyle="1">
    <w:name w:val="Testo tabella"/>
    <w:basedOn w:val="765"/>
    <w:pPr>
      <w:pBdr/>
      <w:spacing/>
      <w:ind/>
    </w:pPr>
    <w:rPr>
      <w:sz w:val="24"/>
    </w:rPr>
  </w:style>
  <w:style w:type="paragraph" w:styleId="781" w:customStyle="1">
    <w:name w:val="Test. inf."/>
    <w:basedOn w:val="765"/>
    <w:pPr>
      <w:pBdr/>
      <w:spacing/>
      <w:ind/>
    </w:pPr>
    <w:rPr>
      <w:sz w:val="24"/>
    </w:rPr>
  </w:style>
  <w:style w:type="paragraph" w:styleId="782" w:customStyle="1">
    <w:name w:val="Test. sup."/>
    <w:basedOn w:val="765"/>
    <w:pPr>
      <w:pBdr/>
      <w:spacing/>
      <w:ind/>
    </w:pPr>
    <w:rPr>
      <w:sz w:val="24"/>
    </w:rPr>
  </w:style>
  <w:style w:type="paragraph" w:styleId="783" w:customStyle="1">
    <w:name w:val="Elenco Numer."/>
    <w:basedOn w:val="765"/>
    <w:pPr>
      <w:pBdr/>
      <w:spacing/>
      <w:ind/>
    </w:pPr>
    <w:rPr>
      <w:sz w:val="24"/>
    </w:rPr>
  </w:style>
  <w:style w:type="paragraph" w:styleId="784" w:customStyle="1">
    <w:name w:val="Richiamo 1"/>
    <w:basedOn w:val="765"/>
    <w:pPr>
      <w:pBdr/>
      <w:spacing/>
      <w:ind/>
    </w:pPr>
    <w:rPr>
      <w:sz w:val="24"/>
    </w:rPr>
  </w:style>
  <w:style w:type="paragraph" w:styleId="785" w:customStyle="1">
    <w:name w:val="Richiamo"/>
    <w:basedOn w:val="765"/>
    <w:pPr>
      <w:pBdr/>
      <w:spacing/>
      <w:ind/>
    </w:pPr>
    <w:rPr>
      <w:sz w:val="24"/>
    </w:rPr>
  </w:style>
  <w:style w:type="paragraph" w:styleId="786" w:customStyle="1">
    <w:name w:val="Testo Normale"/>
    <w:basedOn w:val="765"/>
    <w:pPr>
      <w:pBdr/>
      <w:spacing/>
      <w:ind/>
    </w:pPr>
    <w:rPr>
      <w:sz w:val="24"/>
    </w:rPr>
  </w:style>
  <w:style w:type="paragraph" w:styleId="787">
    <w:name w:val="Body Text"/>
    <w:basedOn w:val="765"/>
    <w:pPr>
      <w:pBdr/>
      <w:spacing w:line="360" w:lineRule="auto"/>
      <w:ind/>
      <w:jc w:val="both"/>
    </w:pPr>
  </w:style>
  <w:style w:type="paragraph" w:styleId="788" w:customStyle="1">
    <w:name w:val="Testo predefinito"/>
    <w:basedOn w:val="765"/>
    <w:pPr>
      <w:pBdr/>
      <w:spacing/>
      <w:ind/>
    </w:pPr>
    <w:rPr>
      <w:sz w:val="24"/>
    </w:rPr>
  </w:style>
  <w:style w:type="paragraph" w:styleId="789">
    <w:name w:val="Header"/>
    <w:basedOn w:val="765"/>
    <w:link w:val="805"/>
    <w:uiPriority w:val="99"/>
    <w:pPr>
      <w:pBdr/>
      <w:tabs>
        <w:tab w:val="center" w:leader="none" w:pos="4819"/>
        <w:tab w:val="right" w:leader="none" w:pos="9638"/>
      </w:tabs>
      <w:spacing/>
      <w:ind/>
    </w:pPr>
  </w:style>
  <w:style w:type="paragraph" w:styleId="790">
    <w:name w:val="Footer"/>
    <w:basedOn w:val="765"/>
    <w:pPr>
      <w:pBdr/>
      <w:tabs>
        <w:tab w:val="center" w:leader="none" w:pos="4819"/>
        <w:tab w:val="right" w:leader="none" w:pos="9638"/>
      </w:tabs>
      <w:spacing/>
      <w:ind/>
    </w:pPr>
  </w:style>
  <w:style w:type="paragraph" w:styleId="791" w:customStyle="1">
    <w:name w:val="Tabella"/>
    <w:basedOn w:val="765"/>
    <w:next w:val="765"/>
    <w:pPr>
      <w:pBdr/>
      <w:spacing w:after="60" w:line="360" w:lineRule="auto"/>
      <w:ind/>
    </w:pPr>
    <w:rPr>
      <w:rFonts w:ascii="Verdana" w:hAnsi="Verdana"/>
    </w:rPr>
  </w:style>
  <w:style w:type="paragraph" w:styleId="792" w:customStyle="1">
    <w:name w:val="Tabella Grassetto"/>
    <w:basedOn w:val="791"/>
    <w:pPr>
      <w:pBdr/>
      <w:spacing/>
      <w:ind/>
    </w:pPr>
    <w:rPr>
      <w:b/>
    </w:rPr>
  </w:style>
  <w:style w:type="paragraph" w:styleId="793" w:customStyle="1">
    <w:name w:val="Copertina"/>
    <w:basedOn w:val="765"/>
    <w:link w:val="794"/>
    <w:pPr>
      <w:pBdr/>
      <w:spacing w:after="60"/>
      <w:ind/>
    </w:pPr>
    <w:rPr>
      <w:rFonts w:ascii="Verdana" w:hAnsi="Verdana"/>
      <w:color w:val="800000"/>
      <w:sz w:val="48"/>
    </w:rPr>
  </w:style>
  <w:style w:type="character" w:styleId="794" w:customStyle="1">
    <w:name w:val="Copertina Carattere"/>
    <w:link w:val="793"/>
    <w:pPr>
      <w:pBdr/>
      <w:spacing/>
      <w:ind/>
    </w:pPr>
    <w:rPr>
      <w:rFonts w:ascii="Verdana" w:hAnsi="Verdana"/>
      <w:color w:val="800000"/>
      <w:sz w:val="48"/>
      <w:lang w:val="en" w:eastAsia="it-IT" w:bidi="ar-SA"/>
    </w:rPr>
  </w:style>
  <w:style w:type="paragraph" w:styleId="795" w:customStyle="1">
    <w:name w:val="Tabella Corsivo"/>
    <w:basedOn w:val="791"/>
    <w:pPr>
      <w:framePr w:hAnchor="margin" w:hSpace="141" w:vAnchor="text" w:wrap="around" w:xAlign="center" w:y="175"/>
      <w:pBdr/>
      <w:spacing w:before="60"/>
      <w:ind/>
    </w:pPr>
    <w:rPr>
      <w:rFonts w:cs="Tahoma"/>
      <w:i/>
    </w:rPr>
  </w:style>
  <w:style w:type="character" w:styleId="796">
    <w:name w:val="page number"/>
    <w:basedOn w:val="772"/>
    <w:pPr>
      <w:pBdr/>
      <w:spacing/>
      <w:ind/>
    </w:pPr>
  </w:style>
  <w:style w:type="paragraph" w:styleId="797">
    <w:name w:val="Balloon Text"/>
    <w:basedOn w:val="765"/>
    <w:semiHidden/>
    <w:pPr>
      <w:pBdr/>
      <w:spacing/>
      <w:ind/>
    </w:pPr>
    <w:rPr>
      <w:rFonts w:ascii="Tahoma" w:hAnsi="Tahoma" w:cs="Tahoma"/>
      <w:sz w:val="16"/>
      <w:szCs w:val="16"/>
    </w:rPr>
  </w:style>
  <w:style w:type="paragraph" w:styleId="798">
    <w:name w:val="Document Map"/>
    <w:basedOn w:val="765"/>
    <w:semiHidden/>
    <w:pPr>
      <w:pBdr/>
      <w:shd w:val="clear" w:color="auto" w:fill="000080"/>
      <w:spacing/>
      <w:ind/>
    </w:pPr>
    <w:rPr>
      <w:rFonts w:ascii="Tahoma" w:hAnsi="Tahoma" w:cs="Tahoma"/>
    </w:rPr>
  </w:style>
  <w:style w:type="character" w:styleId="799">
    <w:name w:val="Hyperlink"/>
    <w:pPr>
      <w:pBdr/>
      <w:spacing/>
      <w:ind/>
    </w:pPr>
    <w:rPr>
      <w:color w:val="0000ff"/>
      <w:u w:val="single"/>
    </w:rPr>
  </w:style>
  <w:style w:type="paragraph" w:styleId="800">
    <w:name w:val="Revision"/>
    <w:hidden/>
    <w:uiPriority w:val="99"/>
    <w:semiHidden/>
    <w:pPr>
      <w:pBdr/>
      <w:spacing/>
      <w:ind/>
    </w:pPr>
  </w:style>
  <w:style w:type="paragraph" w:styleId="801">
    <w:name w:val="footnote text"/>
    <w:basedOn w:val="765"/>
    <w:link w:val="802"/>
    <w:uiPriority w:val="99"/>
    <w:pPr>
      <w:pBdr/>
      <w:spacing/>
      <w:ind/>
      <w:jc w:val="both"/>
    </w:pPr>
    <w:rPr>
      <w:rFonts w:ascii="Nyala" w:hAnsi="Nyala"/>
      <w:lang w:eastAsia="ar-SA"/>
    </w:rPr>
  </w:style>
  <w:style w:type="character" w:styleId="802" w:customStyle="1">
    <w:name w:val="Testo nota a piè di pagina Carattere"/>
    <w:basedOn w:val="772"/>
    <w:link w:val="801"/>
    <w:uiPriority w:val="99"/>
    <w:pPr>
      <w:pBdr/>
      <w:spacing/>
      <w:ind/>
    </w:pPr>
    <w:rPr>
      <w:rFonts w:ascii="Nyala" w:hAnsi="Nyala"/>
      <w:lang w:val="en" w:eastAsia="ar-SA"/>
    </w:rPr>
  </w:style>
  <w:style w:type="character" w:styleId="803" w:customStyle="1">
    <w:name w:val="Menzione non risolta1"/>
    <w:basedOn w:val="772"/>
    <w:uiPriority w:val="99"/>
    <w:semiHidden/>
    <w:unhideWhenUsed/>
    <w:pPr>
      <w:pBdr/>
      <w:spacing/>
      <w:ind/>
    </w:pPr>
    <w:rPr>
      <w:color w:val="605e5c"/>
      <w:shd w:val="clear" w:color="auto" w:fill="e1dfdd"/>
    </w:rPr>
  </w:style>
  <w:style w:type="table" w:styleId="804">
    <w:name w:val="Table Grid"/>
    <w:basedOn w:val="773"/>
    <w:uiPriority w:val="9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05" w:customStyle="1">
    <w:name w:val="Intestazione Carattere"/>
    <w:basedOn w:val="772"/>
    <w:link w:val="789"/>
    <w:uiPriority w:val="99"/>
    <w:pPr>
      <w:pBdr/>
      <w:spacing/>
      <w:ind/>
    </w:pPr>
  </w:style>
  <w:style w:type="character" w:styleId="806">
    <w:name w:val="annotation reference"/>
    <w:basedOn w:val="772"/>
    <w:pPr>
      <w:pBdr/>
      <w:spacing/>
      <w:ind/>
    </w:pPr>
    <w:rPr>
      <w:sz w:val="16"/>
      <w:szCs w:val="16"/>
    </w:rPr>
  </w:style>
  <w:style w:type="paragraph" w:styleId="807">
    <w:name w:val="annotation text"/>
    <w:basedOn w:val="765"/>
    <w:link w:val="808"/>
    <w:pPr>
      <w:pBdr/>
      <w:spacing/>
      <w:ind/>
    </w:pPr>
  </w:style>
  <w:style w:type="character" w:styleId="808" w:customStyle="1">
    <w:name w:val="Testo commento Carattere"/>
    <w:basedOn w:val="772"/>
    <w:link w:val="807"/>
    <w:pPr>
      <w:pBdr/>
      <w:spacing/>
      <w:ind/>
    </w:pPr>
  </w:style>
  <w:style w:type="paragraph" w:styleId="809">
    <w:name w:val="annotation subject"/>
    <w:basedOn w:val="807"/>
    <w:next w:val="807"/>
    <w:link w:val="810"/>
    <w:pPr>
      <w:pBdr/>
      <w:spacing/>
      <w:ind/>
    </w:pPr>
    <w:rPr>
      <w:b/>
      <w:bCs/>
    </w:rPr>
  </w:style>
  <w:style w:type="character" w:styleId="810" w:customStyle="1">
    <w:name w:val="Soggetto commento Carattere"/>
    <w:basedOn w:val="808"/>
    <w:link w:val="809"/>
    <w:pPr>
      <w:pBdr/>
      <w:spacing/>
      <w:ind/>
    </w:pPr>
    <w:rPr>
      <w:b/>
      <w:bCs/>
    </w:rPr>
  </w:style>
  <w:style w:type="paragraph" w:styleId="811">
    <w:name w:val="Body Text 2"/>
    <w:basedOn w:val="765"/>
    <w:link w:val="812"/>
    <w:pPr>
      <w:pBdr/>
      <w:spacing w:line="360" w:lineRule="auto"/>
      <w:ind w:hanging="284" w:left="284"/>
      <w:jc w:val="both"/>
    </w:pPr>
    <w:rPr>
      <w:rFonts w:ascii="Courier New" w:hAnsi="Courier New" w:cs="Courier New"/>
      <w:sz w:val="24"/>
      <w:szCs w:val="24"/>
    </w:rPr>
  </w:style>
  <w:style w:type="character" w:styleId="812" w:customStyle="1">
    <w:name w:val="Corpo del testo 2 Carattere"/>
    <w:basedOn w:val="772"/>
    <w:link w:val="811"/>
    <w:pPr>
      <w:pBdr/>
      <w:spacing/>
      <w:ind/>
    </w:pPr>
    <w:rPr>
      <w:rFonts w:ascii="Courier New" w:hAnsi="Courier New" w:cs="Courier New"/>
      <w:sz w:val="24"/>
      <w:szCs w:val="24"/>
    </w:rPr>
  </w:style>
  <w:style w:type="paragraph" w:styleId="813" w:customStyle="1">
    <w:name w:val="Default"/>
    <w:pPr>
      <w:pBdr/>
      <w:spacing/>
      <w:ind/>
    </w:pPr>
    <w:rPr>
      <w:rFonts w:ascii="Arial" w:hAnsi="Arial" w:eastAsia="Calibri" w:cs="Arial"/>
      <w:color w:val="000000"/>
      <w:sz w:val="24"/>
      <w:szCs w:val="24"/>
      <w:lang w:eastAsia="en-US"/>
    </w:rPr>
  </w:style>
  <w:style w:type="paragraph" w:styleId="814">
    <w:name w:val="List Paragraph"/>
    <w:basedOn w:val="765"/>
    <w:uiPriority w:val="34"/>
    <w:qFormat/>
    <w:pPr>
      <w:pBdr/>
      <w:spacing w:after="200" w:line="276" w:lineRule="auto"/>
      <w:ind w:left="720"/>
      <w:contextualSpacing w:val="true"/>
    </w:pPr>
    <w:rPr>
      <w:rFonts w:asciiTheme="minorHAnsi" w:hAnsiTheme="minorHAnsi" w:eastAsiaTheme="minorHAnsi" w:cstheme="minorBidi"/>
      <w:sz w:val="22"/>
      <w:szCs w:val="22"/>
      <w:lang w:eastAsia="en-US"/>
    </w:rPr>
  </w:style>
  <w:style w:type="table" w:styleId="815" w:customStyle="1">
    <w:name w:val="StGen0"/>
    <w:basedOn w:val="778"/>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StGen1"/>
    <w:basedOn w:val="778"/>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StGen2"/>
    <w:basedOn w:val="778"/>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StGen3"/>
    <w:basedOn w:val="778"/>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StGen4"/>
    <w:basedOn w:val="777"/>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StGen5"/>
    <w:basedOn w:val="777"/>
    <w:pPr>
      <w:pBdr/>
      <w:spacing/>
      <w:ind/>
    </w:p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1" w:customStyle="1">
    <w:name w:val="LO-normal"/>
    <w:pPr>
      <w:pBdr/>
      <w:spacing w:line="1" w:lineRule="atLeast"/>
      <w:ind/>
      <w:outlineLvl w:val="0"/>
    </w:pPr>
    <w:rPr>
      <w:rFonts w:cs="Time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customXml" Target="../customXml/item1.xml" /><Relationship Id="rId12" Type="http://schemas.openxmlformats.org/officeDocument/2006/relationships/hyperlink" Target="http://bd01.leggiditalia.it/cgi-bin/FulShow?TIPO=5&amp;NOTXT=1&amp;KEY=01LX0000144162ART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ylx1AfgKunqv9KaJLfLSckzSQg==">CgMxLjAyCGguZ2pkZ3hzMgloLjFmb2I5dGUyCWguMzBqMHpsbDgAciExZmgxZjktSm9YUDUxYUN3enhlSEk3Ukg5TjJhOFl4YmM=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GEPI SpA</dc:creator>
  <cp:revision>17</cp:revision>
  <dcterms:created xsi:type="dcterms:W3CDTF">2023-11-03T12:19:00Z</dcterms:created>
  <dcterms:modified xsi:type="dcterms:W3CDTF">2025-05-28T20:23:37Z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0x01010045846D8B156D74479236BEA09B14E34D000D50EC842154BF41B3F2DBE833FDCFAE</vt:lpwstr>
  </property>
</Properties>
</file>