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26C" w:rsidRPr="009555B4" w:rsidRDefault="009555B4">
      <w:pPr>
        <w:pBdr>
          <w:top w:val="nil"/>
          <w:left w:val="nil"/>
          <w:bottom w:val="nil"/>
          <w:right w:val="nil"/>
          <w:between w:val="nil"/>
        </w:pBdr>
        <w:spacing w:line="240" w:lineRule="auto"/>
        <w:ind w:left="0" w:hanging="2"/>
        <w:rPr>
          <w:rFonts w:ascii="Titillium" w:eastAsia="Arial" w:hAnsi="Titillium" w:cs="Arial"/>
          <w:b/>
          <w:sz w:val="24"/>
          <w:szCs w:val="24"/>
        </w:rPr>
      </w:pPr>
      <w:r w:rsidRPr="009555B4">
        <w:rPr>
          <w:rFonts w:ascii="Titillium" w:eastAsia="Arial" w:hAnsi="Titillium" w:cs="Arial"/>
          <w:b/>
          <w:sz w:val="24"/>
          <w:szCs w:val="24"/>
        </w:rPr>
        <w:t>DICHIARAZIONE OBBLIGHI ASSUNZIONALI</w:t>
      </w:r>
    </w:p>
    <w:p w:rsidR="009555B4" w:rsidRPr="005F2BF4" w:rsidRDefault="009555B4">
      <w:pPr>
        <w:pBdr>
          <w:top w:val="nil"/>
          <w:left w:val="nil"/>
          <w:bottom w:val="nil"/>
          <w:right w:val="nil"/>
          <w:between w:val="nil"/>
        </w:pBdr>
        <w:spacing w:line="240" w:lineRule="auto"/>
        <w:ind w:left="0" w:hanging="2"/>
        <w:rPr>
          <w:rFonts w:ascii="Titillium" w:eastAsia="Arial" w:hAnsi="Titillium" w:cs="Arial"/>
          <w:sz w:val="21"/>
          <w:szCs w:val="21"/>
        </w:rPr>
      </w:pPr>
    </w:p>
    <w:p w:rsidR="001E2BD2" w:rsidRPr="001E2BD2" w:rsidRDefault="001E2BD2" w:rsidP="001E2BD2">
      <w:pPr>
        <w:spacing w:line="276" w:lineRule="auto"/>
        <w:ind w:left="0" w:hanging="2"/>
        <w:rPr>
          <w:rFonts w:ascii="Titillium" w:eastAsia="Titilium" w:hAnsi="Titillium" w:cs="Titilium"/>
          <w:b/>
          <w:bCs/>
          <w:sz w:val="21"/>
          <w:szCs w:val="21"/>
        </w:rPr>
      </w:pPr>
      <w:r>
        <w:rPr>
          <w:rFonts w:ascii="Titillium" w:eastAsia="Titilium" w:hAnsi="Titillium" w:cs="Titilium"/>
          <w:b/>
          <w:sz w:val="21"/>
          <w:szCs w:val="21"/>
        </w:rPr>
        <w:t>P</w:t>
      </w:r>
      <w:bookmarkStart w:id="0" w:name="_GoBack"/>
      <w:bookmarkEnd w:id="0"/>
      <w:r w:rsidRPr="001E2BD2">
        <w:rPr>
          <w:rFonts w:ascii="Titillium" w:eastAsia="Titilium" w:hAnsi="Titillium" w:cs="Titilium"/>
          <w:b/>
          <w:sz w:val="21"/>
          <w:szCs w:val="21"/>
        </w:rPr>
        <w:t>rocedura di affidamento diretto per l’acquisizione del</w:t>
      </w:r>
      <w:r w:rsidRPr="001E2BD2">
        <w:rPr>
          <w:rFonts w:ascii="Titillium" w:eastAsia="Titilium" w:hAnsi="Titillium" w:cs="Titilium"/>
          <w:b/>
          <w:bCs/>
          <w:sz w:val="21"/>
          <w:szCs w:val="21"/>
        </w:rPr>
        <w:t xml:space="preserve"> servizio di supervisione specialistica, misurazioni ed allineamenti meccanici, verifiche funzionali, al fine di una maggior tutela della strumentazione stessa e del raggiungimento degli obiettivi prefissati di manutenzione straordinaria dell’antenna parabolica di Noto, </w:t>
      </w:r>
      <w:r w:rsidRPr="001E2BD2">
        <w:rPr>
          <w:rFonts w:ascii="Titillium" w:eastAsia="Titilium" w:hAnsi="Titillium" w:cs="Titilium"/>
          <w:b/>
          <w:sz w:val="21"/>
          <w:szCs w:val="21"/>
        </w:rPr>
        <w:t xml:space="preserve">per le esigenze del Progetto  PNRR - IR0000026 </w:t>
      </w:r>
      <w:proofErr w:type="spellStart"/>
      <w:r w:rsidRPr="001E2BD2">
        <w:rPr>
          <w:rFonts w:ascii="Titillium" w:eastAsia="Titilium" w:hAnsi="Titillium" w:cs="Titilium"/>
          <w:b/>
          <w:sz w:val="21"/>
          <w:szCs w:val="21"/>
        </w:rPr>
        <w:t>NextGeneration</w:t>
      </w:r>
      <w:proofErr w:type="spellEnd"/>
      <w:r w:rsidRPr="001E2BD2">
        <w:rPr>
          <w:rFonts w:ascii="Titillium" w:eastAsia="Titilium" w:hAnsi="Titillium" w:cs="Titilium"/>
          <w:b/>
          <w:sz w:val="21"/>
          <w:szCs w:val="21"/>
        </w:rPr>
        <w:t xml:space="preserve"> Croce “NG-CROCE”, Codice Identificativo: IR0000026, Codice Unico di Progetto:  C53C22000880006, ammesso a finanziamento nell’ambito degli "</w:t>
      </w:r>
      <w:r w:rsidRPr="001E2BD2">
        <w:rPr>
          <w:rFonts w:ascii="Titillium" w:eastAsia="Titilium" w:hAnsi="Titillium" w:cs="Titilium"/>
          <w:b/>
          <w:i/>
          <w:sz w:val="21"/>
          <w:szCs w:val="21"/>
        </w:rPr>
        <w:t>Interventi</w:t>
      </w:r>
      <w:r w:rsidRPr="001E2BD2">
        <w:rPr>
          <w:rFonts w:ascii="Titillium" w:eastAsia="Titilium" w:hAnsi="Titillium" w:cs="Titilium"/>
          <w:b/>
          <w:sz w:val="21"/>
          <w:szCs w:val="21"/>
        </w:rPr>
        <w:t>" previsti dalla "</w:t>
      </w:r>
      <w:r w:rsidRPr="001E2BD2">
        <w:rPr>
          <w:rFonts w:ascii="Titillium" w:eastAsia="Titilium" w:hAnsi="Titillium" w:cs="Titilium"/>
          <w:b/>
          <w:i/>
          <w:sz w:val="21"/>
          <w:szCs w:val="21"/>
        </w:rPr>
        <w:t>Missione 4</w:t>
      </w:r>
      <w:r w:rsidRPr="001E2BD2">
        <w:rPr>
          <w:rFonts w:ascii="Titillium" w:eastAsia="Titilium" w:hAnsi="Titillium" w:cs="Titilium"/>
          <w:b/>
          <w:sz w:val="21"/>
          <w:szCs w:val="21"/>
        </w:rPr>
        <w:t>", denominata "</w:t>
      </w:r>
      <w:r w:rsidRPr="001E2BD2">
        <w:rPr>
          <w:rFonts w:ascii="Titillium" w:eastAsia="Titilium" w:hAnsi="Titillium" w:cs="Titilium"/>
          <w:b/>
          <w:i/>
          <w:sz w:val="21"/>
          <w:szCs w:val="21"/>
        </w:rPr>
        <w:t>Istruzione e Ricerca</w:t>
      </w:r>
      <w:r w:rsidRPr="001E2BD2">
        <w:rPr>
          <w:rFonts w:ascii="Titillium" w:eastAsia="Titilium" w:hAnsi="Titillium" w:cs="Titilium"/>
          <w:b/>
          <w:sz w:val="21"/>
          <w:szCs w:val="21"/>
        </w:rPr>
        <w:t>", "</w:t>
      </w:r>
      <w:r w:rsidRPr="001E2BD2">
        <w:rPr>
          <w:rFonts w:ascii="Titillium" w:eastAsia="Titilium" w:hAnsi="Titillium" w:cs="Titilium"/>
          <w:b/>
          <w:i/>
          <w:sz w:val="21"/>
          <w:szCs w:val="21"/>
        </w:rPr>
        <w:t>Componente 2</w:t>
      </w:r>
      <w:r w:rsidRPr="001E2BD2">
        <w:rPr>
          <w:rFonts w:ascii="Titillium" w:eastAsia="Titilium" w:hAnsi="Titillium" w:cs="Titilium"/>
          <w:b/>
          <w:sz w:val="21"/>
          <w:szCs w:val="21"/>
        </w:rPr>
        <w:t>", denominata "</w:t>
      </w:r>
      <w:r w:rsidRPr="001E2BD2">
        <w:rPr>
          <w:rFonts w:ascii="Titillium" w:eastAsia="Titilium" w:hAnsi="Titillium" w:cs="Titilium"/>
          <w:b/>
          <w:i/>
          <w:sz w:val="21"/>
          <w:szCs w:val="21"/>
        </w:rPr>
        <w:t>Dalla Ricerca alla Impresa</w:t>
      </w:r>
      <w:r w:rsidRPr="001E2BD2">
        <w:rPr>
          <w:rFonts w:ascii="Titillium" w:eastAsia="Titilium" w:hAnsi="Titillium" w:cs="Titilium"/>
          <w:b/>
          <w:sz w:val="21"/>
          <w:szCs w:val="21"/>
        </w:rPr>
        <w:t>" ("</w:t>
      </w:r>
      <w:r w:rsidRPr="001E2BD2">
        <w:rPr>
          <w:rFonts w:ascii="Titillium" w:eastAsia="Titilium" w:hAnsi="Titillium" w:cs="Titilium"/>
          <w:b/>
          <w:i/>
          <w:sz w:val="21"/>
          <w:szCs w:val="21"/>
        </w:rPr>
        <w:t>M4C2</w:t>
      </w:r>
      <w:r w:rsidRPr="001E2BD2">
        <w:rPr>
          <w:rFonts w:ascii="Titillium" w:eastAsia="Titilium" w:hAnsi="Titillium" w:cs="Titilium"/>
          <w:b/>
          <w:sz w:val="21"/>
          <w:szCs w:val="21"/>
        </w:rPr>
        <w:t xml:space="preserve">"), </w:t>
      </w:r>
      <w:r w:rsidRPr="001E2BD2">
        <w:rPr>
          <w:rFonts w:ascii="Titillium" w:eastAsia="Titilium" w:hAnsi="Titillium" w:cs="Titilium"/>
          <w:b/>
          <w:i/>
          <w:sz w:val="21"/>
          <w:szCs w:val="21"/>
        </w:rPr>
        <w:t>Linea di Investimento 3.1", denominata "Rafforzamento e creazione di Infrastrutture di Ricerca", del "Piano Nazionale di Ripresa e Resilienza”</w:t>
      </w:r>
      <w:r w:rsidRPr="001E2BD2">
        <w:rPr>
          <w:rFonts w:ascii="Titillium" w:eastAsia="Titilium" w:hAnsi="Titillium" w:cs="Titilium"/>
          <w:b/>
          <w:sz w:val="21"/>
          <w:szCs w:val="21"/>
        </w:rPr>
        <w:t>.</w:t>
      </w:r>
    </w:p>
    <w:p w:rsidR="0053567D" w:rsidRPr="007953A9" w:rsidRDefault="0053567D" w:rsidP="0053567D">
      <w:pPr>
        <w:spacing w:line="276" w:lineRule="auto"/>
        <w:ind w:left="0" w:hanging="2"/>
        <w:rPr>
          <w:rFonts w:ascii="Titillium" w:eastAsia="Titilium" w:hAnsi="Titillium" w:cs="Titilium"/>
          <w:sz w:val="21"/>
          <w:szCs w:val="21"/>
        </w:rPr>
      </w:pPr>
    </w:p>
    <w:p w:rsidR="002C11A7" w:rsidRDefault="002C11A7" w:rsidP="002C11A7">
      <w:pPr>
        <w:spacing w:line="240" w:lineRule="auto"/>
        <w:ind w:leftChars="0" w:left="2" w:hanging="2"/>
        <w:jc w:val="both"/>
        <w:rPr>
          <w:rFonts w:ascii="Titillium" w:eastAsia="Titilium" w:hAnsi="Titillium" w:cs="Titilium"/>
          <w:color w:val="000000"/>
          <w:sz w:val="21"/>
          <w:szCs w:val="21"/>
        </w:rPr>
      </w:pP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tbl>
      <w:tblPr>
        <w:tblStyle w:val="a3"/>
        <w:tblW w:w="98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2835"/>
        <w:gridCol w:w="6457"/>
      </w:tblGrid>
      <w:tr w:rsidR="00D2726C" w:rsidRPr="005F2BF4">
        <w:trPr>
          <w:jc w:val="center"/>
        </w:trPr>
        <w:tc>
          <w:tcPr>
            <w:tcW w:w="3397" w:type="dxa"/>
            <w:gridSpan w:val="2"/>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Il sottoscritto</w:t>
            </w:r>
          </w:p>
        </w:tc>
        <w:tc>
          <w:tcPr>
            <w:tcW w:w="6457" w:type="dxa"/>
          </w:tcPr>
          <w:p w:rsidR="00D2726C" w:rsidRPr="005F2BF4" w:rsidRDefault="00D2726C">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p>
        </w:tc>
      </w:tr>
      <w:tr w:rsidR="00D2726C" w:rsidRPr="005F2BF4">
        <w:trPr>
          <w:jc w:val="center"/>
        </w:trPr>
        <w:tc>
          <w:tcPr>
            <w:tcW w:w="3397" w:type="dxa"/>
            <w:gridSpan w:val="2"/>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Codice fiscale</w:t>
            </w:r>
          </w:p>
        </w:tc>
        <w:tc>
          <w:tcPr>
            <w:tcW w:w="6457" w:type="dxa"/>
          </w:tcPr>
          <w:p w:rsidR="00D2726C" w:rsidRPr="005F2BF4" w:rsidRDefault="00D2726C">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p>
        </w:tc>
      </w:tr>
      <w:tr w:rsidR="00D2726C" w:rsidRPr="005F2BF4">
        <w:trPr>
          <w:jc w:val="center"/>
        </w:trPr>
        <w:tc>
          <w:tcPr>
            <w:tcW w:w="9854" w:type="dxa"/>
            <w:gridSpan w:val="3"/>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Nella sua qualità di:</w:t>
            </w:r>
          </w:p>
        </w:tc>
      </w:tr>
      <w:tr w:rsidR="00D2726C" w:rsidRPr="005F2BF4">
        <w:trPr>
          <w:jc w:val="center"/>
        </w:trPr>
        <w:tc>
          <w:tcPr>
            <w:tcW w:w="562" w:type="dxa"/>
          </w:tcPr>
          <w:p w:rsidR="00D2726C" w:rsidRPr="005F2BF4" w:rsidRDefault="000614CE">
            <w:pPr>
              <w:pBdr>
                <w:top w:val="nil"/>
                <w:left w:val="nil"/>
                <w:bottom w:val="nil"/>
                <w:right w:val="nil"/>
                <w:between w:val="nil"/>
              </w:pBdr>
              <w:tabs>
                <w:tab w:val="left" w:pos="-1800"/>
                <w:tab w:val="left" w:pos="1080"/>
                <w:tab w:val="left" w:pos="1800"/>
                <w:tab w:val="left" w:pos="6300"/>
              </w:tabs>
              <w:spacing w:line="240" w:lineRule="auto"/>
              <w:ind w:left="0" w:hanging="2"/>
              <w:jc w:val="center"/>
              <w:rPr>
                <w:rFonts w:ascii="Titillium" w:eastAsia="Titilium" w:hAnsi="Titillium" w:cs="Titilium"/>
                <w:color w:val="000000"/>
                <w:sz w:val="21"/>
                <w:szCs w:val="21"/>
              </w:rPr>
            </w:pPr>
            <w:r w:rsidRPr="005F2BF4">
              <w:rPr>
                <w:rFonts w:ascii="Courier New" w:eastAsia="Times New Roman" w:hAnsi="Courier New" w:cs="Courier New"/>
                <w:color w:val="000000"/>
                <w:sz w:val="21"/>
                <w:szCs w:val="21"/>
              </w:rPr>
              <w:t>□</w:t>
            </w:r>
          </w:p>
        </w:tc>
        <w:tc>
          <w:tcPr>
            <w:tcW w:w="9292" w:type="dxa"/>
            <w:gridSpan w:val="2"/>
            <w:vAlign w:val="center"/>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Titolare o Legale rappresentante</w:t>
            </w:r>
          </w:p>
        </w:tc>
      </w:tr>
      <w:tr w:rsidR="00D2726C" w:rsidRPr="005F2BF4">
        <w:trPr>
          <w:jc w:val="center"/>
        </w:trPr>
        <w:tc>
          <w:tcPr>
            <w:tcW w:w="562" w:type="dxa"/>
          </w:tcPr>
          <w:p w:rsidR="00D2726C" w:rsidRPr="005F2BF4" w:rsidRDefault="000614CE">
            <w:pPr>
              <w:pBdr>
                <w:top w:val="nil"/>
                <w:left w:val="nil"/>
                <w:bottom w:val="nil"/>
                <w:right w:val="nil"/>
                <w:between w:val="nil"/>
              </w:pBdr>
              <w:tabs>
                <w:tab w:val="left" w:pos="-1800"/>
                <w:tab w:val="left" w:pos="1080"/>
                <w:tab w:val="left" w:pos="1800"/>
                <w:tab w:val="left" w:pos="6300"/>
              </w:tabs>
              <w:spacing w:line="240" w:lineRule="auto"/>
              <w:ind w:left="0" w:hanging="2"/>
              <w:jc w:val="center"/>
              <w:rPr>
                <w:rFonts w:ascii="Titillium" w:eastAsia="Titilium" w:hAnsi="Titillium" w:cs="Titilium"/>
                <w:color w:val="000000"/>
                <w:sz w:val="21"/>
                <w:szCs w:val="21"/>
              </w:rPr>
            </w:pPr>
            <w:r w:rsidRPr="005F2BF4">
              <w:rPr>
                <w:rFonts w:ascii="Courier New" w:eastAsia="Times New Roman" w:hAnsi="Courier New" w:cs="Courier New"/>
                <w:color w:val="000000"/>
                <w:sz w:val="21"/>
                <w:szCs w:val="21"/>
              </w:rPr>
              <w:t>□</w:t>
            </w:r>
          </w:p>
        </w:tc>
        <w:tc>
          <w:tcPr>
            <w:tcW w:w="9292" w:type="dxa"/>
            <w:gridSpan w:val="2"/>
            <w:vAlign w:val="center"/>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Procuratore</w:t>
            </w:r>
          </w:p>
        </w:tc>
      </w:tr>
      <w:tr w:rsidR="00D2726C" w:rsidRPr="005F2BF4">
        <w:trPr>
          <w:jc w:val="center"/>
        </w:trPr>
        <w:tc>
          <w:tcPr>
            <w:tcW w:w="3397" w:type="dxa"/>
            <w:gridSpan w:val="2"/>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Del concorrente</w:t>
            </w:r>
          </w:p>
        </w:tc>
        <w:tc>
          <w:tcPr>
            <w:tcW w:w="6457" w:type="dxa"/>
          </w:tcPr>
          <w:p w:rsidR="00D2726C" w:rsidRPr="005F2BF4" w:rsidRDefault="00D2726C">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p>
        </w:tc>
      </w:tr>
    </w:tbl>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widowControl w:val="0"/>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r w:rsidRPr="005F2BF4">
        <w:rPr>
          <w:rFonts w:ascii="Titillium" w:eastAsia="Titilium" w:hAnsi="Titillium" w:cs="Titilium"/>
          <w:i/>
          <w:color w:val="000000"/>
          <w:sz w:val="21"/>
          <w:szCs w:val="21"/>
        </w:rPr>
        <w:t xml:space="preserve">(in caso di RTI o di Consorzio </w:t>
      </w:r>
      <w:r w:rsidRPr="005F2BF4">
        <w:rPr>
          <w:rFonts w:ascii="Titillium" w:eastAsia="Titilium" w:hAnsi="Titillium" w:cs="Titilium"/>
          <w:i/>
          <w:sz w:val="21"/>
          <w:szCs w:val="21"/>
        </w:rPr>
        <w:t xml:space="preserve">costituiti ai sensi </w:t>
      </w:r>
      <w:r w:rsidRPr="005F2BF4">
        <w:rPr>
          <w:rFonts w:ascii="Titillium" w:eastAsia="Titilium" w:hAnsi="Titillium" w:cs="Titilium"/>
          <w:i/>
          <w:color w:val="000000"/>
          <w:sz w:val="21"/>
          <w:szCs w:val="21"/>
        </w:rPr>
        <w:t xml:space="preserve">del codice dei contratti, </w:t>
      </w:r>
      <w:r w:rsidRPr="005F2BF4">
        <w:rPr>
          <w:rFonts w:ascii="Titillium" w:eastAsia="Titilium" w:hAnsi="Titillium" w:cs="Titilium"/>
          <w:i/>
          <w:sz w:val="21"/>
          <w:szCs w:val="21"/>
        </w:rPr>
        <w:t>anche</w:t>
      </w:r>
      <w:r w:rsidRPr="005F2BF4">
        <w:rPr>
          <w:rFonts w:ascii="Titillium" w:eastAsia="Titilium" w:hAnsi="Titillium" w:cs="Titilium"/>
          <w:i/>
          <w:color w:val="000000"/>
          <w:sz w:val="21"/>
          <w:szCs w:val="21"/>
        </w:rPr>
        <w:t xml:space="preserve"> costituendi, dal Consorzio e dalle consorziate designate quali esecutrici nonché per il G.E.I.E. non ancora costituito, replicare la tabella e compilarla per ogni sottoscrittore)</w:t>
      </w:r>
    </w:p>
    <w:p w:rsidR="00D2726C" w:rsidRPr="005F2BF4" w:rsidRDefault="00D2726C">
      <w:pPr>
        <w:widowControl w:val="0"/>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p>
    <w:p w:rsidR="00D2726C" w:rsidRPr="005F2BF4" w:rsidRDefault="000614CE">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ai fini della ammissione alla procedura di gara, ai sensi degli articoli 46 e 47 del D.P.R. 28 dicembre 2000, n. 445,</w:t>
      </w: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consapevole/i della responsabilità e delle conseguenze civili e penali previste in caso di dichiarazioni mendaci e/o formazione od uso di atti falsi, nonché in caso di esibizione di atti contenenti dati non più corrispondenti a verità;</w:t>
      </w: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 xml:space="preserve">consapevole/i che costituisce causa di esclusione del/dei concorrente/i il mancato rispetto, al momento della presentazione dell’offerta, degli obblighi in materia di lavoro delle persone con disabilità di cui alla L. 68/1999; </w:t>
      </w: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consapevole/i che il mancato rispetto della quota di assunzioni di giovani e donne nella percentuale del 30%, come calcolata in base alle Linee guida approvate con Decreto della Presidenza del Consiglio dei Ministri – Dipartimento Pari Opportunità, 7/12/2021 (G.U.R.I. 30/12/2021), comporterà l’applicazione di una penale quantificata tra il 1% ed il 4% del valore della commessa, a seconda della gravità dell’inadempimento;</w:t>
      </w:r>
    </w:p>
    <w:p w:rsidR="00D2726C" w:rsidRPr="005F2BF4" w:rsidRDefault="00D2726C">
      <w:pPr>
        <w:widowControl w:val="0"/>
        <w:pBdr>
          <w:top w:val="nil"/>
          <w:left w:val="nil"/>
          <w:bottom w:val="nil"/>
          <w:right w:val="nil"/>
          <w:between w:val="nil"/>
        </w:pBdr>
        <w:spacing w:line="240" w:lineRule="auto"/>
        <w:ind w:left="0" w:hanging="2"/>
        <w:jc w:val="center"/>
        <w:rPr>
          <w:rFonts w:ascii="Titillium" w:eastAsia="Titilium" w:hAnsi="Titillium" w:cs="Titilium"/>
          <w:b/>
          <w:color w:val="000000"/>
          <w:sz w:val="21"/>
          <w:szCs w:val="21"/>
        </w:rPr>
      </w:pPr>
    </w:p>
    <w:p w:rsidR="00D2726C" w:rsidRPr="005F2BF4" w:rsidRDefault="000614CE">
      <w:pPr>
        <w:widowControl w:val="0"/>
        <w:pBdr>
          <w:top w:val="nil"/>
          <w:left w:val="nil"/>
          <w:bottom w:val="nil"/>
          <w:right w:val="nil"/>
          <w:between w:val="nil"/>
        </w:pBdr>
        <w:spacing w:line="240" w:lineRule="auto"/>
        <w:ind w:left="0" w:hanging="2"/>
        <w:jc w:val="center"/>
        <w:rPr>
          <w:rFonts w:ascii="Titillium" w:eastAsia="Titilium" w:hAnsi="Titillium" w:cs="Titilium"/>
          <w:b/>
          <w:color w:val="000000"/>
          <w:sz w:val="21"/>
          <w:szCs w:val="21"/>
        </w:rPr>
      </w:pPr>
      <w:r w:rsidRPr="005F2BF4">
        <w:rPr>
          <w:rFonts w:ascii="Titillium" w:eastAsia="Titilium" w:hAnsi="Titillium" w:cs="Titilium"/>
          <w:b/>
          <w:color w:val="000000"/>
          <w:sz w:val="21"/>
          <w:szCs w:val="21"/>
        </w:rPr>
        <w:t>DICHIARA/DICHIARANO</w:t>
      </w:r>
    </w:p>
    <w:p w:rsidR="00D2726C" w:rsidRPr="005F2BF4" w:rsidRDefault="00D2726C">
      <w:pPr>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che il/i concorrente/i ha/hanno assolto gli obblighi in materia di lavoro delle persone con disabilità di cui alla legge 12 marzo 1999, n. 68;</w:t>
      </w: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bookmarkStart w:id="1" w:name="_heading=h.gjdgxs" w:colFirst="0" w:colLast="0"/>
      <w:bookmarkEnd w:id="1"/>
      <w:r w:rsidRPr="005F2BF4">
        <w:rPr>
          <w:rFonts w:ascii="Titillium" w:eastAsia="Titilium" w:hAnsi="Titillium" w:cs="Titilium"/>
          <w:color w:val="000000"/>
          <w:sz w:val="21"/>
          <w:szCs w:val="21"/>
        </w:rPr>
        <w:lastRenderedPageBreak/>
        <w:t>che il/i concorrente/i, ai sensi di quanto disposto dall’art. 47, comma 4, del D.L. 77/2021, in caso di aggiudicazione del contratto, ove per l’esecuzione del contratto medesimo o per la realizzazione di attività ad esso connesse o strumentali, fosse necessario procedere con nuove assunzioni in numero pari o superiore a tre unità, assume/assumono l’obbligo di assicurare una quota pari:</w:t>
      </w:r>
    </w:p>
    <w:p w:rsidR="00D2726C" w:rsidRPr="005F2BF4" w:rsidRDefault="000614CE">
      <w:pPr>
        <w:widowControl w:val="0"/>
        <w:numPr>
          <w:ilvl w:val="1"/>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 xml:space="preserve">almeno al 30% delle nuove assunzioni necessarie all’occupazione giovanile; </w:t>
      </w:r>
    </w:p>
    <w:p w:rsidR="00D2726C" w:rsidRPr="005F2BF4" w:rsidRDefault="000614CE">
      <w:pPr>
        <w:widowControl w:val="0"/>
        <w:numPr>
          <w:ilvl w:val="1"/>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almeno al 30% delle nuove assunzioni necessarie all’occupazione femminile.</w:t>
      </w:r>
    </w:p>
    <w:p w:rsidR="00D2726C" w:rsidRPr="005F2BF4" w:rsidRDefault="00D2726C">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widowControl w:val="0"/>
        <w:pBdr>
          <w:top w:val="nil"/>
          <w:left w:val="nil"/>
          <w:bottom w:val="nil"/>
          <w:right w:val="nil"/>
          <w:between w:val="nil"/>
        </w:pBdr>
        <w:spacing w:line="240" w:lineRule="auto"/>
        <w:ind w:left="0" w:hanging="2"/>
        <w:jc w:val="right"/>
        <w:rPr>
          <w:rFonts w:ascii="Titillium" w:eastAsia="Titilium" w:hAnsi="Titillium" w:cs="Titilium"/>
          <w:color w:val="000000"/>
          <w:sz w:val="21"/>
          <w:szCs w:val="21"/>
        </w:rPr>
      </w:pPr>
      <w:bookmarkStart w:id="2" w:name="_heading=h.30j0zll" w:colFirst="0" w:colLast="0"/>
      <w:bookmarkEnd w:id="2"/>
      <w:r w:rsidRPr="005F2BF4">
        <w:rPr>
          <w:rFonts w:ascii="Titillium" w:eastAsia="Titilium" w:hAnsi="Titillium" w:cs="Titilium"/>
          <w:color w:val="000000"/>
          <w:sz w:val="21"/>
          <w:szCs w:val="21"/>
        </w:rPr>
        <w:t>Firma digitale</w:t>
      </w:r>
      <w:r w:rsidRPr="005F2BF4">
        <w:rPr>
          <w:rFonts w:ascii="Titillium" w:eastAsia="Titilium" w:hAnsi="Titillium" w:cs="Titilium"/>
          <w:color w:val="000000"/>
          <w:sz w:val="21"/>
          <w:szCs w:val="21"/>
          <w:vertAlign w:val="superscript"/>
        </w:rPr>
        <w:footnoteReference w:id="1"/>
      </w:r>
      <w:r w:rsidRPr="005F2BF4">
        <w:rPr>
          <w:rFonts w:ascii="Titillium" w:eastAsia="Titilium" w:hAnsi="Titillium" w:cs="Titilium"/>
          <w:color w:val="000000"/>
          <w:sz w:val="21"/>
          <w:szCs w:val="21"/>
        </w:rPr>
        <w:t xml:space="preserve"> del legale rappresentante/procuratore</w:t>
      </w:r>
      <w:r w:rsidRPr="005F2BF4">
        <w:rPr>
          <w:rFonts w:ascii="Titillium" w:eastAsia="Titilium" w:hAnsi="Titillium" w:cs="Titilium"/>
          <w:color w:val="000000"/>
          <w:sz w:val="21"/>
          <w:szCs w:val="21"/>
          <w:vertAlign w:val="superscript"/>
        </w:rPr>
        <w:footnoteReference w:id="2"/>
      </w:r>
      <w:r w:rsidRPr="005F2BF4">
        <w:rPr>
          <w:rFonts w:ascii="Titillium" w:eastAsia="Titilium" w:hAnsi="Titillium" w:cs="Titilium"/>
          <w:color w:val="000000"/>
          <w:sz w:val="21"/>
          <w:szCs w:val="21"/>
        </w:rPr>
        <w:t xml:space="preserve"> di tutti i sottoscrittori</w:t>
      </w: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tbl>
      <w:tblPr>
        <w:tblStyle w:val="a4"/>
        <w:tblW w:w="942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8"/>
      </w:tblGrid>
      <w:tr w:rsidR="00D2726C" w:rsidRPr="005F2BF4">
        <w:tc>
          <w:tcPr>
            <w:tcW w:w="9428" w:type="dxa"/>
          </w:tcPr>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r w:rsidRPr="005F2BF4">
              <w:rPr>
                <w:rFonts w:ascii="Titillium" w:eastAsia="Titilium" w:hAnsi="Titillium" w:cs="Titilium"/>
                <w:b/>
                <w:color w:val="000000"/>
                <w:sz w:val="21"/>
                <w:szCs w:val="21"/>
              </w:rPr>
              <w:t>CHIARIMENTI</w:t>
            </w:r>
          </w:p>
          <w:p w:rsidR="00D2726C" w:rsidRPr="005F2BF4" w:rsidRDefault="00D2726C">
            <w:pPr>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 xml:space="preserve">1) Come precisato nelle Linee guida approvate con Decreto della Presidenza del Consiglio dei Ministri – Dipartimento Pari Opportunità, 7/12/2021 (G.U.R.I. 30/12/2021), gli obiettivi di incremento occupazionale giovanile e di genere che si intendono perseguire con le risorse previste dal Regolamento (UE) 2021/240 del Parlamento europeo e del Consiglio del 10 febbraio 2021 e dal Regolamento (UE) 2021/241 del Parlamento europeo e del Consiglio del 12 febbraio 2021, </w:t>
            </w:r>
            <w:proofErr w:type="spellStart"/>
            <w:r w:rsidRPr="005F2BF4">
              <w:rPr>
                <w:rFonts w:ascii="Titillium" w:eastAsia="Titilium" w:hAnsi="Titillium" w:cs="Titilium"/>
                <w:color w:val="000000"/>
                <w:sz w:val="21"/>
                <w:szCs w:val="21"/>
              </w:rPr>
              <w:t>nonchè</w:t>
            </w:r>
            <w:proofErr w:type="spellEnd"/>
            <w:r w:rsidRPr="005F2BF4">
              <w:rPr>
                <w:rFonts w:ascii="Titillium" w:eastAsia="Titilium" w:hAnsi="Titillium" w:cs="Titilium"/>
                <w:color w:val="000000"/>
                <w:sz w:val="21"/>
                <w:szCs w:val="21"/>
              </w:rPr>
              <w:t xml:space="preserve"> dal PNC, costituiscono due distinti target di policy. Ciò significa che nelle procedure di affidamento si deve intendere autonomo il target di incremento dell'occupazione giovanile rispetto a quello dell'occupazione femminile. L'obbligo è finalizzato a garantire un incremento sia dei lavoratori giovani sia delle lavoratrici e pertanto la percentuale di incremento deve essere assicurata con riferimento ad entrambe le tipologie. </w:t>
            </w:r>
          </w:p>
          <w:p w:rsidR="00D2726C" w:rsidRPr="005F2BF4" w:rsidRDefault="000614CE">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Fatte salve le deroghe di cui al comma 7, va dunque, ad esempio, esclusa un'azienda che si impegna all'incremento del 30 per cento ottenuto con il 20 per cento di giovani e il 10 per cento di donne, salvo che queste percentuali non rispecchino i criteri per l'applicazione delle deroghe indicati nel seguito. Diversamente va ammessa, ad esempio, l'azienda che garantisce l'impegno con assunzioni che, sebbene nominalmente non superano la percentuale del 30 per cento, garantiscono tuttavia il target con un numero inferiore di unità in tutto o in parte caratterizzate dal doppio requisito di genere ed età (30 per cento di donne con meno di 36 anni oppure 20 per cento di donne con meno di 36 anni, 10 per cento di donne di almeno 36 anni e 10 per cento di uomini con meno di 36 anni). Ad ogni modo, per i dettagli operativo sulle modalità di calcolo, si rinvia alle già citate linee guida.</w:t>
            </w:r>
          </w:p>
          <w:p w:rsidR="00D2726C" w:rsidRPr="005F2BF4" w:rsidRDefault="00D2726C">
            <w:pPr>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2) Al fine di evitare che l’assunzione dell’obbligo in dichiarazione possa disincentivare la partecipazione o, ancora, determinare negli operatori il convincimento a non allegare la dichiarazione, che costituisce requisito necessario dell’offerta, passibile di esclusione, si ritiene di dover riportare, ad integrazione di quanto indicato nelle già citate linee guida, la risposta data al quesito sottostante dal Servizio Supporto Giuridico del MIT (Codice identificativo: 1133 Data ricezione: 12/01/2022 Argomento: Appalti PNRR e PNC):</w:t>
            </w: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b/>
                <w:color w:val="000000"/>
                <w:sz w:val="21"/>
                <w:szCs w:val="21"/>
              </w:rPr>
              <w:t>Oggetto: Contratti finanziati con PNRR - requisito quota 30% di assunzioni occupazione giovanile e femminile</w:t>
            </w: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b/>
                <w:color w:val="000000"/>
                <w:sz w:val="21"/>
                <w:szCs w:val="21"/>
              </w:rPr>
              <w:t>Quesito</w:t>
            </w:r>
            <w:r w:rsidRPr="005F2BF4">
              <w:rPr>
                <w:rFonts w:ascii="Titillium" w:eastAsia="Titilium" w:hAnsi="Titillium" w:cs="Titilium"/>
                <w:color w:val="000000"/>
                <w:sz w:val="21"/>
                <w:szCs w:val="21"/>
              </w:rPr>
              <w:t xml:space="preserve">: </w:t>
            </w:r>
            <w:r w:rsidRPr="005F2BF4">
              <w:rPr>
                <w:rFonts w:ascii="Titillium" w:eastAsia="Titilium" w:hAnsi="Titillium" w:cs="Titilium"/>
                <w:i/>
                <w:color w:val="000000"/>
                <w:sz w:val="21"/>
                <w:szCs w:val="21"/>
              </w:rPr>
              <w:t>Per i contratti pubblici finanziati con risorse del PNRR e del PNC al comma 4 dell'art. 47 del Decreto legge 31 maggio 2021 n. 77 è previsto, quale requisito necessario per l’offerta, l’assunzione dell’obbligo di assicurare, in caso di aggiudicazione del contratto, una quota pari almeno al 30 per cento, delle assunzioni necessarie per l'esecuzione del contratto o per la realizzazione di attività ad esso connesse o strumentali, sia all'occupazione giovanile sia all'occupazione femminile. Si chiede a riguardo cosa si intenda per "assunzioni necessarie" e, in particolare, se tale obbligo di assunzione sussista solo qualora il datore di lavoro abbia una effettiva necessità di ricorrere a nuove assunzioni per poter svolgere le attività oggetto della gara, e quindi la misura del 30% sia da riferirsi al numero di nuovi assunti, oppure se sussista l'obbligo di effettuare nuovi assunzioni anche nel caso in cui il datore di lavoro abbia già un numero di dipendenti tale da consentirgli di eseguire le attività oggetto della gara.</w:t>
            </w: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u w:val="single"/>
              </w:rPr>
            </w:pPr>
            <w:r w:rsidRPr="005F2BF4">
              <w:rPr>
                <w:rFonts w:ascii="Titillium" w:eastAsia="Titilium" w:hAnsi="Titillium" w:cs="Titilium"/>
                <w:b/>
                <w:color w:val="000000"/>
                <w:sz w:val="21"/>
                <w:szCs w:val="21"/>
              </w:rPr>
              <w:t>Risposta</w:t>
            </w:r>
            <w:r w:rsidRPr="005F2BF4">
              <w:rPr>
                <w:rFonts w:ascii="Titillium" w:eastAsia="Titilium" w:hAnsi="Titillium" w:cs="Titilium"/>
                <w:color w:val="000000"/>
                <w:sz w:val="21"/>
                <w:szCs w:val="21"/>
              </w:rPr>
              <w:t xml:space="preserve">: </w:t>
            </w:r>
            <w:r w:rsidRPr="005F2BF4">
              <w:rPr>
                <w:rFonts w:ascii="Titillium" w:eastAsia="Titilium" w:hAnsi="Titillium" w:cs="Titilium"/>
                <w:i/>
                <w:color w:val="000000"/>
                <w:sz w:val="21"/>
                <w:szCs w:val="21"/>
              </w:rPr>
              <w:t xml:space="preserve">In merito all’assunzione dell'obbligo di assicurare, in caso di aggiudicazioni ricadenti nel PNRR e PNC, si rinvia alle previsioni di cui al Paragrafo 5 delle “Linee guida volte a favorire la pari opportunità di genere e generazionali, nonché l'inclusione lavorativa delle persone con disabilità nei contratti pubblici finanziati con le risorse del PNRR e del PNC” approvate con DM 7 dicembre 2021, pubblicate nella Gazzetta Ufficiale 30 dicembre 2021, n. 309. In base a dette Linee guida la quota del 30% dei neoassunti destinati a nuova occupazione giovanile e femminile (art. 47, comma 4, del DL n. 77/2021), </w:t>
            </w:r>
            <w:r w:rsidRPr="005F2BF4">
              <w:rPr>
                <w:rFonts w:ascii="Titillium" w:eastAsia="Titilium" w:hAnsi="Titillium" w:cs="Titilium"/>
                <w:i/>
                <w:color w:val="000000"/>
                <w:sz w:val="21"/>
                <w:szCs w:val="21"/>
                <w:u w:val="single"/>
              </w:rPr>
              <w:t>deve essere riferita unicamente alle assunzioni “necessarie per l'esecuzione del contratto o per la realizzazione di attività ad esso connesse o strumentali”, da determinarsi avendo riguardo all’intero arco temporale di esecuzione del contratto ed applicando un criterio di funzionalità di dette nuove assunzioni rispetto all’esecuzione del contratto aggiudicato nei tempi e secondo le modalità previste.</w:t>
            </w: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i/>
                <w:color w:val="000000"/>
                <w:sz w:val="21"/>
                <w:szCs w:val="21"/>
              </w:rPr>
              <w:t>Non è richiesto, quindi, che l’operatore si impegni ad assumere personale, nel caso in cui la prestazione possa essere eseguita con personale già contrattualizzato.</w:t>
            </w: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tc>
      </w:tr>
    </w:tbl>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u w:val="single"/>
        </w:rPr>
      </w:pPr>
    </w:p>
    <w:p w:rsidR="00D2726C" w:rsidRPr="005F2BF4" w:rsidRDefault="00D2726C">
      <w:pPr>
        <w:pBdr>
          <w:top w:val="nil"/>
          <w:left w:val="nil"/>
          <w:bottom w:val="nil"/>
          <w:right w:val="nil"/>
          <w:between w:val="nil"/>
        </w:pBdr>
        <w:spacing w:line="240" w:lineRule="auto"/>
        <w:ind w:left="0" w:hanging="2"/>
        <w:rPr>
          <w:rFonts w:ascii="Titillium" w:eastAsia="Titilium" w:hAnsi="Titillium" w:cs="Titilium"/>
          <w:color w:val="000000"/>
          <w:sz w:val="21"/>
          <w:szCs w:val="21"/>
        </w:rPr>
      </w:pPr>
    </w:p>
    <w:sectPr w:rsidR="00D2726C" w:rsidRPr="005F2BF4">
      <w:headerReference w:type="even" r:id="rId8"/>
      <w:headerReference w:type="default" r:id="rId9"/>
      <w:footerReference w:type="even" r:id="rId10"/>
      <w:footerReference w:type="default" r:id="rId11"/>
      <w:headerReference w:type="first" r:id="rId12"/>
      <w:footerReference w:type="first" r:id="rId13"/>
      <w:pgSz w:w="11906" w:h="16838"/>
      <w:pgMar w:top="1543" w:right="1021" w:bottom="964" w:left="1021" w:header="284" w:footer="47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2BE" w:rsidRDefault="000C32BE">
      <w:pPr>
        <w:spacing w:line="240" w:lineRule="auto"/>
        <w:ind w:left="0" w:hanging="2"/>
      </w:pPr>
      <w:r>
        <w:separator/>
      </w:r>
    </w:p>
  </w:endnote>
  <w:endnote w:type="continuationSeparator" w:id="0">
    <w:p w:rsidR="000C32BE" w:rsidRDefault="000C32B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tillium">
    <w:panose1 w:val="00000500000000000000"/>
    <w:charset w:val="00"/>
    <w:family w:val="moder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Titilium">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D2726C">
    <w:pPr>
      <w:pBdr>
        <w:top w:val="nil"/>
        <w:left w:val="nil"/>
        <w:bottom w:val="nil"/>
        <w:right w:val="nil"/>
        <w:between w:val="nil"/>
      </w:pBdr>
      <w:tabs>
        <w:tab w:val="center" w:pos="4819"/>
        <w:tab w:val="right" w:pos="9638"/>
      </w:tabs>
      <w:spacing w:line="240" w:lineRule="auto"/>
      <w:ind w:left="0" w:hanging="2"/>
      <w:rPr>
        <w:color w:val="00000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0614CE">
    <w:pPr>
      <w:pBdr>
        <w:top w:val="nil"/>
        <w:left w:val="nil"/>
        <w:bottom w:val="nil"/>
        <w:right w:val="nil"/>
        <w:between w:val="nil"/>
      </w:pBdr>
      <w:tabs>
        <w:tab w:val="center" w:pos="4819"/>
        <w:tab w:val="right" w:pos="9638"/>
      </w:tabs>
      <w:spacing w:line="240" w:lineRule="auto"/>
      <w:ind w:left="0" w:hanging="2"/>
      <w:jc w:val="right"/>
      <w:rPr>
        <w:color w:val="000000"/>
      </w:rPr>
    </w:pPr>
    <w:r>
      <w:rPr>
        <w:color w:val="000000"/>
      </w:rPr>
      <w:t xml:space="preserve">Pag. </w:t>
    </w:r>
    <w:r>
      <w:rPr>
        <w:color w:val="000000"/>
      </w:rPr>
      <w:fldChar w:fldCharType="begin"/>
    </w:r>
    <w:r>
      <w:rPr>
        <w:color w:val="000000"/>
      </w:rPr>
      <w:instrText>PAGE</w:instrText>
    </w:r>
    <w:r>
      <w:rPr>
        <w:color w:val="000000"/>
      </w:rPr>
      <w:fldChar w:fldCharType="separate"/>
    </w:r>
    <w:r w:rsidR="001E2BD2">
      <w:rPr>
        <w:noProof/>
        <w:color w:val="000000"/>
      </w:rPr>
      <w:t>1</w:t>
    </w:r>
    <w:r>
      <w:rPr>
        <w:color w:val="000000"/>
      </w:rPr>
      <w:fldChar w:fldCharType="end"/>
    </w:r>
  </w:p>
  <w:p w:rsidR="00D2726C" w:rsidRDefault="00D2726C">
    <w:pPr>
      <w:pBdr>
        <w:top w:val="nil"/>
        <w:left w:val="nil"/>
        <w:bottom w:val="nil"/>
        <w:right w:val="nil"/>
        <w:between w:val="nil"/>
      </w:pBdr>
      <w:tabs>
        <w:tab w:val="center" w:pos="4819"/>
        <w:tab w:val="right" w:pos="9638"/>
      </w:tabs>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D2726C">
    <w:pPr>
      <w:pBdr>
        <w:top w:val="nil"/>
        <w:left w:val="nil"/>
        <w:bottom w:val="nil"/>
        <w:right w:val="nil"/>
        <w:between w:val="nil"/>
      </w:pBdr>
      <w:tabs>
        <w:tab w:val="center" w:pos="4819"/>
        <w:tab w:val="right" w:pos="9638"/>
      </w:tabs>
      <w:spacing w:line="240" w:lineRule="auto"/>
      <w:ind w:left="0" w:hanging="2"/>
      <w:rPr>
        <w:color w:val="00000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2BE" w:rsidRDefault="000C32BE">
      <w:pPr>
        <w:spacing w:line="240" w:lineRule="auto"/>
        <w:ind w:left="0" w:hanging="2"/>
      </w:pPr>
      <w:r>
        <w:separator/>
      </w:r>
    </w:p>
  </w:footnote>
  <w:footnote w:type="continuationSeparator" w:id="0">
    <w:p w:rsidR="000C32BE" w:rsidRDefault="000C32BE">
      <w:pPr>
        <w:spacing w:line="240" w:lineRule="auto"/>
        <w:ind w:left="0" w:hanging="2"/>
      </w:pPr>
      <w:r>
        <w:continuationSeparator/>
      </w:r>
    </w:p>
  </w:footnote>
  <w:footnote w:id="1">
    <w:p w:rsidR="00D2726C" w:rsidRDefault="000614CE">
      <w:pPr>
        <w:pBdr>
          <w:top w:val="nil"/>
          <w:left w:val="nil"/>
          <w:bottom w:val="nil"/>
          <w:right w:val="nil"/>
          <w:between w:val="nil"/>
        </w:pBdr>
        <w:spacing w:line="240" w:lineRule="auto"/>
        <w:ind w:left="0" w:hanging="2"/>
        <w:jc w:val="both"/>
        <w:rPr>
          <w:rFonts w:ascii="Titilium" w:eastAsia="Titilium" w:hAnsi="Titilium" w:cs="Titilium"/>
          <w:color w:val="000000"/>
        </w:rPr>
      </w:pPr>
      <w:r>
        <w:rPr>
          <w:vertAlign w:val="superscript"/>
        </w:rPr>
        <w:footnoteRef/>
      </w:r>
      <w:r>
        <w:rPr>
          <w:rFonts w:ascii="Titilium" w:eastAsia="Titilium" w:hAnsi="Titilium" w:cs="Titilium"/>
          <w:color w:val="000000"/>
        </w:rPr>
        <w:t xml:space="preserve"> </w:t>
      </w:r>
      <w:r>
        <w:rPr>
          <w:rFonts w:ascii="Titilium" w:eastAsia="Titilium" w:hAnsi="Titilium" w:cs="Titilium"/>
          <w:color w:val="000000"/>
          <w:sz w:val="16"/>
        </w:rPr>
        <w:t>Per gli operatori economici italiani o stranieri residenti in Italia, la dichiarazione deve essere sottoscritta da un legale rappresentante ovvero da un procuratore</w:t>
      </w:r>
      <w:r>
        <w:rPr>
          <w:rFonts w:ascii="Titilium" w:eastAsia="Titilium" w:hAnsi="Titilium" w:cs="Titilium"/>
          <w:color w:val="000000"/>
          <w:sz w:val="16"/>
          <w:vertAlign w:val="superscript"/>
        </w:rPr>
        <w:t>3</w:t>
      </w:r>
      <w:r>
        <w:rPr>
          <w:rFonts w:ascii="Titilium" w:eastAsia="Titilium" w:hAnsi="Titilium" w:cs="Titilium"/>
          <w:color w:val="000000"/>
          <w:sz w:val="16"/>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2">
    <w:p w:rsidR="00D2726C" w:rsidRDefault="000614CE">
      <w:pPr>
        <w:pBdr>
          <w:top w:val="nil"/>
          <w:left w:val="nil"/>
          <w:bottom w:val="nil"/>
          <w:right w:val="nil"/>
          <w:between w:val="nil"/>
        </w:pBdr>
        <w:spacing w:line="240" w:lineRule="auto"/>
        <w:ind w:left="0" w:hanging="2"/>
        <w:jc w:val="both"/>
        <w:rPr>
          <w:rFonts w:ascii="Titilium" w:eastAsia="Titilium" w:hAnsi="Titilium" w:cs="Titilium"/>
          <w:color w:val="000000"/>
        </w:rPr>
      </w:pPr>
      <w:bookmarkStart w:id="3" w:name="_heading=h.1fob9te" w:colFirst="0" w:colLast="0"/>
      <w:bookmarkEnd w:id="3"/>
      <w:r>
        <w:rPr>
          <w:vertAlign w:val="superscript"/>
        </w:rPr>
        <w:footnoteRef/>
      </w:r>
      <w:r>
        <w:rPr>
          <w:rFonts w:ascii="Titilium" w:eastAsia="Titilium" w:hAnsi="Titilium" w:cs="Titilium"/>
          <w:color w:val="000000"/>
        </w:rPr>
        <w:t xml:space="preserve"> </w:t>
      </w:r>
      <w:r>
        <w:rPr>
          <w:rFonts w:ascii="Titilium" w:eastAsia="Titilium" w:hAnsi="Titilium" w:cs="Titilium"/>
          <w:color w:val="000000"/>
          <w:sz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D2726C">
    <w:pPr>
      <w:pBdr>
        <w:top w:val="nil"/>
        <w:left w:val="nil"/>
        <w:bottom w:val="nil"/>
        <w:right w:val="nil"/>
        <w:between w:val="nil"/>
      </w:pBdr>
      <w:tabs>
        <w:tab w:val="center" w:pos="4819"/>
        <w:tab w:val="right" w:pos="9638"/>
      </w:tabs>
      <w:spacing w:line="240" w:lineRule="auto"/>
      <w:ind w:left="0" w:hanging="2"/>
      <w:rPr>
        <w:color w:val="00000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2C11A7">
    <w:pPr>
      <w:spacing w:before="108"/>
      <w:ind w:left="0" w:right="72" w:hanging="2"/>
      <w:jc w:val="both"/>
      <w:rPr>
        <w:rFonts w:ascii="Times New Roman" w:eastAsia="Times New Roman" w:hAnsi="Times New Roman" w:cs="Times New Roman"/>
        <w:sz w:val="10"/>
        <w:szCs w:val="10"/>
        <w:vertAlign w:val="superscript"/>
      </w:rPr>
    </w:pPr>
    <w:r>
      <w:rPr>
        <w:rFonts w:ascii="Times New Roman" w:eastAsia="Times New Roman" w:hAnsi="Times New Roman" w:cs="Times New Roman"/>
        <w:b/>
        <w:noProof/>
        <w:sz w:val="24"/>
        <w:szCs w:val="24"/>
      </w:rPr>
      <w:drawing>
        <wp:anchor distT="0" distB="0" distL="114300" distR="114300" simplePos="0" relativeHeight="251658240" behindDoc="1" locked="0" layoutInCell="1" allowOverlap="1" wp14:anchorId="441ABD69" wp14:editId="50E14534">
          <wp:simplePos x="0" y="0"/>
          <wp:positionH relativeFrom="page">
            <wp:align>right</wp:align>
          </wp:positionH>
          <wp:positionV relativeFrom="paragraph">
            <wp:posOffset>-210820</wp:posOffset>
          </wp:positionV>
          <wp:extent cx="7879080" cy="830580"/>
          <wp:effectExtent l="0" t="0" r="7620" b="7620"/>
          <wp:wrapTight wrapText="bothSides">
            <wp:wrapPolygon edited="0">
              <wp:start x="0" y="0"/>
              <wp:lineTo x="0" y="21303"/>
              <wp:lineTo x="21569" y="21303"/>
              <wp:lineTo x="21569" y="0"/>
              <wp:lineTo x="0" y="0"/>
            </wp:wrapPolygon>
          </wp:wrapTight>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7879080" cy="830580"/>
                  </a:xfrm>
                  <a:prstGeom prst="rect">
                    <a:avLst/>
                  </a:prstGeom>
                  <a:ln/>
                </pic:spPr>
              </pic:pic>
            </a:graphicData>
          </a:graphic>
          <wp14:sizeRelH relativeFrom="margin">
            <wp14:pctWidth>0</wp14:pctWidth>
          </wp14:sizeRelH>
          <wp14:sizeRelV relativeFrom="margin">
            <wp14:pctHeight>0</wp14:pctHeight>
          </wp14:sizeRelV>
        </wp:anchor>
      </w:drawing>
    </w:r>
  </w:p>
  <w:p w:rsidR="00D2726C" w:rsidRDefault="00D2726C">
    <w:pPr>
      <w:tabs>
        <w:tab w:val="center" w:pos="4819"/>
        <w:tab w:val="right" w:pos="9638"/>
      </w:tabs>
      <w:ind w:left="0" w:hanging="2"/>
      <w:jc w:val="both"/>
    </w:pPr>
  </w:p>
  <w:p w:rsidR="00D2726C" w:rsidRDefault="00D2726C">
    <w:pPr>
      <w:tabs>
        <w:tab w:val="center" w:pos="4819"/>
        <w:tab w:val="right" w:pos="9638"/>
      </w:tabs>
      <w:ind w:left="0" w:hanging="2"/>
      <w:jc w:val="both"/>
    </w:pPr>
  </w:p>
  <w:p w:rsidR="00D2726C" w:rsidRDefault="00D2726C">
    <w:pPr>
      <w:pBdr>
        <w:top w:val="nil"/>
        <w:left w:val="nil"/>
        <w:bottom w:val="nil"/>
        <w:right w:val="nil"/>
        <w:between w:val="nil"/>
      </w:pBdr>
      <w:spacing w:line="240" w:lineRule="auto"/>
      <w:ind w:left="0" w:hanging="2"/>
      <w:jc w:val="center"/>
      <w:rPr>
        <w:rFonts w:ascii="Times New Roman" w:eastAsia="Times New Roman" w:hAnsi="Times New Roman" w:cs="Times New Roman"/>
        <w:b/>
        <w:sz w:val="24"/>
        <w:szCs w:val="24"/>
      </w:rPr>
    </w:pPr>
  </w:p>
  <w:p w:rsidR="00D2726C" w:rsidRDefault="00D2726C">
    <w:pPr>
      <w:tabs>
        <w:tab w:val="center" w:pos="4819"/>
        <w:tab w:val="right" w:pos="9638"/>
      </w:tabs>
      <w:ind w:left="0" w:hanging="2"/>
      <w:jc w:val="both"/>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D2726C">
    <w:pPr>
      <w:pBdr>
        <w:top w:val="nil"/>
        <w:left w:val="nil"/>
        <w:bottom w:val="nil"/>
        <w:right w:val="nil"/>
        <w:between w:val="nil"/>
      </w:pBdr>
      <w:tabs>
        <w:tab w:val="center" w:pos="4819"/>
        <w:tab w:val="right" w:pos="9638"/>
      </w:tabs>
      <w:spacing w:line="240" w:lineRule="auto"/>
      <w:ind w:left="0" w:hanging="2"/>
      <w:rPr>
        <w:color w:val="00000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3E2F22"/>
    <w:multiLevelType w:val="multilevel"/>
    <w:tmpl w:val="D1EAB7E6"/>
    <w:lvl w:ilvl="0">
      <w:start w:val="1"/>
      <w:numFmt w:val="bullet"/>
      <w:lvlText w:val="●"/>
      <w:lvlJc w:val="left"/>
      <w:pPr>
        <w:ind w:left="1425" w:hanging="705"/>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26C"/>
    <w:rsid w:val="000614CE"/>
    <w:rsid w:val="0008389C"/>
    <w:rsid w:val="000C32BE"/>
    <w:rsid w:val="00131A7D"/>
    <w:rsid w:val="001E2BD2"/>
    <w:rsid w:val="002C11A7"/>
    <w:rsid w:val="003171DF"/>
    <w:rsid w:val="004B4BD5"/>
    <w:rsid w:val="0053567D"/>
    <w:rsid w:val="005F2BF4"/>
    <w:rsid w:val="006E1819"/>
    <w:rsid w:val="00703FB2"/>
    <w:rsid w:val="00933CDC"/>
    <w:rsid w:val="009555B4"/>
    <w:rsid w:val="00970412"/>
    <w:rsid w:val="009B3AE5"/>
    <w:rsid w:val="00BE174F"/>
    <w:rsid w:val="00CE2418"/>
    <w:rsid w:val="00D2726C"/>
    <w:rsid w:val="00D35723"/>
    <w:rsid w:val="00F34D29"/>
    <w:rsid w:val="00F660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195631"/>
  <w15:docId w15:val="{85AC52AE-B87F-4A22-89F5-FB01A9E5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it-IT" w:eastAsia="it-IT"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spacing w:line="1" w:lineRule="atLeast"/>
      <w:ind w:leftChars="-1" w:left="-1" w:hangingChars="1"/>
      <w:textDirection w:val="btLr"/>
      <w:textAlignment w:val="top"/>
      <w:outlineLvl w:val="0"/>
    </w:pPr>
    <w:rPr>
      <w:position w:val="-1"/>
      <w:szCs w:val="16"/>
    </w:rPr>
  </w:style>
  <w:style w:type="paragraph" w:styleId="Titolo1">
    <w:name w:val="heading 1"/>
    <w:basedOn w:val="Normale"/>
    <w:next w:val="Normale"/>
    <w:uiPriority w:val="9"/>
    <w:qFormat/>
    <w:pPr>
      <w:keepNext/>
      <w:keepLines/>
      <w:spacing w:before="480" w:after="12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spacing w:before="240" w:after="60"/>
      <w:outlineLvl w:val="3"/>
    </w:pPr>
    <w:rPr>
      <w:rFonts w:eastAsia="Times New Roman"/>
      <w:b/>
      <w:bCs/>
      <w:sz w:val="28"/>
      <w:szCs w:val="28"/>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itolo4Carattere">
    <w:name w:val="Titolo 4 Carattere"/>
    <w:rPr>
      <w:rFonts w:ascii="Calibri" w:eastAsia="Times New Roman" w:hAnsi="Calibri" w:cs="Times New Roman"/>
      <w:b/>
      <w:bCs/>
      <w:w w:val="100"/>
      <w:kern w:val="0"/>
      <w:position w:val="-1"/>
      <w:sz w:val="28"/>
      <w:szCs w:val="28"/>
      <w:effect w:val="none"/>
      <w:vertAlign w:val="baseline"/>
      <w:cs w:val="0"/>
      <w:em w:val="none"/>
      <w:lang w:val="it-IT" w:eastAsia="it-IT"/>
    </w:rPr>
  </w:style>
  <w:style w:type="paragraph" w:styleId="Pidipagina">
    <w:name w:val="footer"/>
    <w:basedOn w:val="Normale"/>
    <w:qFormat/>
    <w:pPr>
      <w:tabs>
        <w:tab w:val="center" w:pos="4819"/>
        <w:tab w:val="right" w:pos="9638"/>
      </w:tabs>
    </w:pPr>
  </w:style>
  <w:style w:type="character" w:customStyle="1" w:styleId="PidipaginaCarattere">
    <w:name w:val="Piè di pagina Carattere"/>
    <w:rPr>
      <w:w w:val="100"/>
      <w:kern w:val="0"/>
      <w:position w:val="-1"/>
      <w:sz w:val="20"/>
      <w:szCs w:val="16"/>
      <w:effect w:val="none"/>
      <w:vertAlign w:val="baseline"/>
      <w:cs w:val="0"/>
      <w:em w:val="none"/>
      <w:lang w:val="it-IT" w:eastAsia="it-IT"/>
    </w:rPr>
  </w:style>
  <w:style w:type="paragraph" w:customStyle="1" w:styleId="usoboll1">
    <w:name w:val="usoboll1"/>
    <w:basedOn w:val="Normale"/>
    <w:pPr>
      <w:widowControl w:val="0"/>
      <w:spacing w:line="482" w:lineRule="atLeast"/>
      <w:jc w:val="both"/>
    </w:pPr>
    <w:rPr>
      <w:rFonts w:ascii="Times New Roman" w:eastAsia="Times New Roman" w:hAnsi="Times New Roman"/>
      <w:sz w:val="24"/>
      <w:szCs w:val="20"/>
    </w:rPr>
  </w:style>
  <w:style w:type="paragraph" w:styleId="Corpodeltesto2">
    <w:name w:val="Body Text 2"/>
    <w:basedOn w:val="Normale"/>
    <w:qFormat/>
    <w:pPr>
      <w:spacing w:after="120" w:line="480" w:lineRule="auto"/>
    </w:pPr>
  </w:style>
  <w:style w:type="character" w:customStyle="1" w:styleId="Corpodeltesto2Carattere">
    <w:name w:val="Corpo del testo 2 Carattere"/>
    <w:rPr>
      <w:w w:val="100"/>
      <w:kern w:val="0"/>
      <w:position w:val="-1"/>
      <w:sz w:val="20"/>
      <w:szCs w:val="16"/>
      <w:effect w:val="none"/>
      <w:vertAlign w:val="baseline"/>
      <w:cs w:val="0"/>
      <w:em w:val="none"/>
      <w:lang w:val="it-IT" w:eastAsia="it-IT"/>
    </w:rPr>
  </w:style>
  <w:style w:type="table" w:styleId="Grigliatabella">
    <w:name w:val="Table Grid"/>
    <w:basedOn w:val="Tabellanormale"/>
    <w:pPr>
      <w:suppressAutoHyphens/>
      <w:ind w:leftChars="-1" w:left="-1" w:hangingChars="1"/>
      <w:textDirection w:val="btLr"/>
      <w:textAlignment w:val="top"/>
      <w:outlineLvl w:val="0"/>
    </w:pPr>
    <w:rPr>
      <w:rFonts w:ascii="Times New Roman" w:eastAsia="Times New Roman" w:hAnsi="Times New Roman" w:cs="Times New Roman"/>
      <w:position w:val="-1"/>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pPr>
      <w:autoSpaceDE w:val="0"/>
      <w:autoSpaceDN w:val="0"/>
    </w:pPr>
    <w:rPr>
      <w:rFonts w:ascii="Times New Roman" w:eastAsia="Times New Roman" w:hAnsi="Times New Roman"/>
      <w:szCs w:val="20"/>
    </w:rPr>
  </w:style>
  <w:style w:type="character" w:customStyle="1" w:styleId="TestonotaapidipaginaCarattere">
    <w:name w:val="Testo nota a piè di pagina Carattere"/>
    <w:rPr>
      <w:rFonts w:ascii="Times New Roman" w:eastAsia="Times New Roman" w:hAnsi="Times New Roman" w:cs="Times New Roman"/>
      <w:w w:val="100"/>
      <w:kern w:val="0"/>
      <w:position w:val="-1"/>
      <w:sz w:val="20"/>
      <w:szCs w:val="20"/>
      <w:effect w:val="none"/>
      <w:vertAlign w:val="baseline"/>
      <w:cs w:val="0"/>
      <w:em w:val="none"/>
      <w:lang w:val="it-IT" w:eastAsia="it-IT"/>
    </w:rPr>
  </w:style>
  <w:style w:type="character" w:styleId="Rimandonotaapidipagina">
    <w:name w:val="footnote reference"/>
    <w:rPr>
      <w:w w:val="100"/>
      <w:position w:val="-1"/>
      <w:effect w:val="none"/>
      <w:vertAlign w:val="superscript"/>
      <w:cs w:val="0"/>
      <w:em w:val="none"/>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paragraph" w:styleId="Intestazione">
    <w:name w:val="header"/>
    <w:basedOn w:val="Normale"/>
    <w:link w:val="IntestazioneCarattere"/>
    <w:uiPriority w:val="99"/>
    <w:unhideWhenUsed/>
    <w:rsid w:val="00920F04"/>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rsid w:val="00920F04"/>
    <w:rPr>
      <w:position w:val="-1"/>
      <w:szCs w:val="16"/>
    </w:r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379926">
      <w:bodyDiv w:val="1"/>
      <w:marLeft w:val="0"/>
      <w:marRight w:val="0"/>
      <w:marTop w:val="0"/>
      <w:marBottom w:val="0"/>
      <w:divBdr>
        <w:top w:val="none" w:sz="0" w:space="0" w:color="auto"/>
        <w:left w:val="none" w:sz="0" w:space="0" w:color="auto"/>
        <w:bottom w:val="none" w:sz="0" w:space="0" w:color="auto"/>
        <w:right w:val="none" w:sz="0" w:space="0" w:color="auto"/>
      </w:divBdr>
    </w:div>
    <w:div w:id="548610883">
      <w:bodyDiv w:val="1"/>
      <w:marLeft w:val="0"/>
      <w:marRight w:val="0"/>
      <w:marTop w:val="0"/>
      <w:marBottom w:val="0"/>
      <w:divBdr>
        <w:top w:val="none" w:sz="0" w:space="0" w:color="auto"/>
        <w:left w:val="none" w:sz="0" w:space="0" w:color="auto"/>
        <w:bottom w:val="none" w:sz="0" w:space="0" w:color="auto"/>
        <w:right w:val="none" w:sz="0" w:space="0" w:color="auto"/>
      </w:divBdr>
    </w:div>
    <w:div w:id="703020013">
      <w:bodyDiv w:val="1"/>
      <w:marLeft w:val="0"/>
      <w:marRight w:val="0"/>
      <w:marTop w:val="0"/>
      <w:marBottom w:val="0"/>
      <w:divBdr>
        <w:top w:val="none" w:sz="0" w:space="0" w:color="auto"/>
        <w:left w:val="none" w:sz="0" w:space="0" w:color="auto"/>
        <w:bottom w:val="none" w:sz="0" w:space="0" w:color="auto"/>
        <w:right w:val="none" w:sz="0" w:space="0" w:color="auto"/>
      </w:divBdr>
    </w:div>
    <w:div w:id="2124962321">
      <w:bodyDiv w:val="1"/>
      <w:marLeft w:val="0"/>
      <w:marRight w:val="0"/>
      <w:marTop w:val="0"/>
      <w:marBottom w:val="0"/>
      <w:divBdr>
        <w:top w:val="none" w:sz="0" w:space="0" w:color="auto"/>
        <w:left w:val="none" w:sz="0" w:space="0" w:color="auto"/>
        <w:bottom w:val="none" w:sz="0" w:space="0" w:color="auto"/>
        <w:right w:val="none" w:sz="0" w:space="0" w:color="auto"/>
      </w:divBdr>
    </w:div>
    <w:div w:id="21320484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VVvvsUmfe9nSXKoMUXdedXwxMA==">CgMxLjAyCGguZ2pkZ3hzMgloLjMwajB6bGwyCWguMWZvYjl0ZTgAciExcmhmU0J3aDM4cGZrZ1VVekd3bmszVmgzcGFDVXgzSlQ=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1156</Words>
  <Characters>6593</Characters>
  <Application>Microsoft Office Word</Application>
  <DocSecurity>0</DocSecurity>
  <Lines>54</Lines>
  <Paragraphs>15</Paragraphs>
  <ScaleCrop>false</ScaleCrop>
  <Company/>
  <LinksUpToDate>false</LinksUpToDate>
  <CharactersWithSpaces>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Raffaella Riondino</dc:creator>
  <cp:lastModifiedBy>rosy.poerio</cp:lastModifiedBy>
  <cp:revision>13</cp:revision>
  <dcterms:created xsi:type="dcterms:W3CDTF">2023-11-03T12:27:00Z</dcterms:created>
  <dcterms:modified xsi:type="dcterms:W3CDTF">2025-06-26T09:09:00Z</dcterms:modified>
</cp:coreProperties>
</file>