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6C" w:rsidRPr="009555B4" w:rsidRDefault="009555B4">
      <w:pPr>
        <w:pBdr>
          <w:top w:val="nil"/>
          <w:left w:val="nil"/>
          <w:bottom w:val="nil"/>
          <w:right w:val="nil"/>
          <w:between w:val="nil"/>
        </w:pBdr>
        <w:spacing w:line="240" w:lineRule="auto"/>
        <w:ind w:left="0" w:hanging="2"/>
        <w:rPr>
          <w:rFonts w:ascii="Titillium" w:eastAsia="Arial" w:hAnsi="Titillium" w:cs="Arial"/>
          <w:b/>
          <w:sz w:val="24"/>
          <w:szCs w:val="24"/>
        </w:rPr>
      </w:pPr>
      <w:r w:rsidRPr="009555B4">
        <w:rPr>
          <w:rFonts w:ascii="Titillium" w:eastAsia="Arial" w:hAnsi="Titillium" w:cs="Arial"/>
          <w:b/>
          <w:sz w:val="24"/>
          <w:szCs w:val="24"/>
        </w:rPr>
        <w:t>DICHIARAZIONE OBBLIGHI ASSUNZIONALI</w:t>
      </w:r>
    </w:p>
    <w:p w:rsidR="009555B4" w:rsidRPr="005F2BF4" w:rsidRDefault="009555B4">
      <w:pPr>
        <w:pBdr>
          <w:top w:val="nil"/>
          <w:left w:val="nil"/>
          <w:bottom w:val="nil"/>
          <w:right w:val="nil"/>
          <w:between w:val="nil"/>
        </w:pBdr>
        <w:spacing w:line="240" w:lineRule="auto"/>
        <w:ind w:left="0" w:hanging="2"/>
        <w:rPr>
          <w:rFonts w:ascii="Titillium" w:eastAsia="Arial" w:hAnsi="Titillium" w:cs="Arial"/>
          <w:sz w:val="21"/>
          <w:szCs w:val="21"/>
        </w:rPr>
      </w:pPr>
    </w:p>
    <w:p w:rsidR="006C2C90" w:rsidRPr="006C2C90" w:rsidRDefault="006C2C90" w:rsidP="006C2C90">
      <w:pPr>
        <w:spacing w:line="276" w:lineRule="auto"/>
        <w:ind w:left="0" w:hanging="2"/>
        <w:jc w:val="both"/>
        <w:rPr>
          <w:rFonts w:ascii="Titillium" w:eastAsia="Titilium" w:hAnsi="Titillium" w:cs="Titilium"/>
          <w:b/>
          <w:sz w:val="21"/>
          <w:szCs w:val="21"/>
        </w:rPr>
      </w:pPr>
      <w:r w:rsidRPr="006C2C90">
        <w:rPr>
          <w:rFonts w:ascii="Titillium" w:eastAsia="Titilium" w:hAnsi="Titillium" w:cs="Titilium"/>
          <w:b/>
          <w:sz w:val="21"/>
          <w:szCs w:val="21"/>
        </w:rPr>
        <w:t xml:space="preserve">Affidamento diretto </w:t>
      </w:r>
      <w:r w:rsidRPr="006C2C90">
        <w:rPr>
          <w:rFonts w:ascii="Titillium" w:eastAsia="Titilium" w:hAnsi="Titillium" w:cs="Titilium"/>
          <w:b/>
          <w:bCs/>
          <w:sz w:val="21"/>
          <w:szCs w:val="21"/>
          <w:lang w:val="it"/>
        </w:rPr>
        <w:t>fornitura di materiale ed installazione della nuova movimentazione e della nuova linea focale del ramo est/ovest dell’antenna “Croce del Nord” presso la stazione Radioastronomica di Medicina (BO)</w:t>
      </w:r>
      <w:r w:rsidRPr="006C2C90">
        <w:rPr>
          <w:rFonts w:ascii="Titillium" w:eastAsia="Titilium" w:hAnsi="Titillium" w:cs="Titilium"/>
          <w:b/>
          <w:bCs/>
          <w:sz w:val="21"/>
          <w:szCs w:val="21"/>
        </w:rPr>
        <w:t>,</w:t>
      </w:r>
      <w:r w:rsidRPr="006C2C90">
        <w:rPr>
          <w:rFonts w:ascii="Titillium" w:eastAsia="Titilium" w:hAnsi="Titillium" w:cs="Titilium"/>
          <w:b/>
          <w:sz w:val="21"/>
          <w:szCs w:val="21"/>
        </w:rPr>
        <w:t xml:space="preserve"> per le esigenze del Prog</w:t>
      </w:r>
      <w:bookmarkStart w:id="0" w:name="_GoBack"/>
      <w:bookmarkEnd w:id="0"/>
      <w:r w:rsidRPr="006C2C90">
        <w:rPr>
          <w:rFonts w:ascii="Titillium" w:eastAsia="Titilium" w:hAnsi="Titillium" w:cs="Titilium"/>
          <w:b/>
          <w:sz w:val="21"/>
          <w:szCs w:val="21"/>
        </w:rPr>
        <w:t xml:space="preserve">etto  PNRR - IR0000026 </w:t>
      </w:r>
      <w:proofErr w:type="spellStart"/>
      <w:r w:rsidRPr="006C2C90">
        <w:rPr>
          <w:rFonts w:ascii="Titillium" w:eastAsia="Titilium" w:hAnsi="Titillium" w:cs="Titilium"/>
          <w:b/>
          <w:sz w:val="21"/>
          <w:szCs w:val="21"/>
        </w:rPr>
        <w:t>NextGeneration</w:t>
      </w:r>
      <w:proofErr w:type="spellEnd"/>
      <w:r w:rsidRPr="006C2C90">
        <w:rPr>
          <w:rFonts w:ascii="Titillium" w:eastAsia="Titilium" w:hAnsi="Titillium" w:cs="Titilium"/>
          <w:b/>
          <w:sz w:val="21"/>
          <w:szCs w:val="21"/>
        </w:rPr>
        <w:t xml:space="preserve"> Croce “NG-CROCE”, Codice Identificativo: IR0000026, Codice Unico di Progetto:  C53C22000880006, ammesso a finanziamento nell’ambito degli "</w:t>
      </w:r>
      <w:r w:rsidRPr="006C2C90">
        <w:rPr>
          <w:rFonts w:ascii="Titillium" w:eastAsia="Titilium" w:hAnsi="Titillium" w:cs="Titilium"/>
          <w:b/>
          <w:i/>
          <w:sz w:val="21"/>
          <w:szCs w:val="21"/>
        </w:rPr>
        <w:t>Interventi</w:t>
      </w:r>
      <w:r w:rsidRPr="006C2C90">
        <w:rPr>
          <w:rFonts w:ascii="Titillium" w:eastAsia="Titilium" w:hAnsi="Titillium" w:cs="Titilium"/>
          <w:b/>
          <w:sz w:val="21"/>
          <w:szCs w:val="21"/>
        </w:rPr>
        <w:t>" previsti dalla "</w:t>
      </w:r>
      <w:r w:rsidRPr="006C2C90">
        <w:rPr>
          <w:rFonts w:ascii="Titillium" w:eastAsia="Titilium" w:hAnsi="Titillium" w:cs="Titilium"/>
          <w:b/>
          <w:i/>
          <w:sz w:val="21"/>
          <w:szCs w:val="21"/>
        </w:rPr>
        <w:t>Missione 4</w:t>
      </w:r>
      <w:r w:rsidRPr="006C2C90">
        <w:rPr>
          <w:rFonts w:ascii="Titillium" w:eastAsia="Titilium" w:hAnsi="Titillium" w:cs="Titilium"/>
          <w:b/>
          <w:sz w:val="21"/>
          <w:szCs w:val="21"/>
        </w:rPr>
        <w:t>", denominata "</w:t>
      </w:r>
      <w:r w:rsidRPr="006C2C90">
        <w:rPr>
          <w:rFonts w:ascii="Titillium" w:eastAsia="Titilium" w:hAnsi="Titillium" w:cs="Titilium"/>
          <w:b/>
          <w:i/>
          <w:sz w:val="21"/>
          <w:szCs w:val="21"/>
        </w:rPr>
        <w:t>Istruzione e Ricerca</w:t>
      </w:r>
      <w:r w:rsidRPr="006C2C90">
        <w:rPr>
          <w:rFonts w:ascii="Titillium" w:eastAsia="Titilium" w:hAnsi="Titillium" w:cs="Titilium"/>
          <w:b/>
          <w:sz w:val="21"/>
          <w:szCs w:val="21"/>
        </w:rPr>
        <w:t>", "</w:t>
      </w:r>
      <w:r w:rsidRPr="006C2C90">
        <w:rPr>
          <w:rFonts w:ascii="Titillium" w:eastAsia="Titilium" w:hAnsi="Titillium" w:cs="Titilium"/>
          <w:b/>
          <w:i/>
          <w:sz w:val="21"/>
          <w:szCs w:val="21"/>
        </w:rPr>
        <w:t>Componente 2</w:t>
      </w:r>
      <w:r w:rsidRPr="006C2C90">
        <w:rPr>
          <w:rFonts w:ascii="Titillium" w:eastAsia="Titilium" w:hAnsi="Titillium" w:cs="Titilium"/>
          <w:b/>
          <w:sz w:val="21"/>
          <w:szCs w:val="21"/>
        </w:rPr>
        <w:t>", denominata "</w:t>
      </w:r>
      <w:r w:rsidRPr="006C2C90">
        <w:rPr>
          <w:rFonts w:ascii="Titillium" w:eastAsia="Titilium" w:hAnsi="Titillium" w:cs="Titilium"/>
          <w:b/>
          <w:i/>
          <w:sz w:val="21"/>
          <w:szCs w:val="21"/>
        </w:rPr>
        <w:t>Dalla Ricerca alla Impresa</w:t>
      </w:r>
      <w:r w:rsidRPr="006C2C90">
        <w:rPr>
          <w:rFonts w:ascii="Titillium" w:eastAsia="Titilium" w:hAnsi="Titillium" w:cs="Titilium"/>
          <w:b/>
          <w:sz w:val="21"/>
          <w:szCs w:val="21"/>
        </w:rPr>
        <w:t>" ("</w:t>
      </w:r>
      <w:r w:rsidRPr="006C2C90">
        <w:rPr>
          <w:rFonts w:ascii="Titillium" w:eastAsia="Titilium" w:hAnsi="Titillium" w:cs="Titilium"/>
          <w:b/>
          <w:i/>
          <w:sz w:val="21"/>
          <w:szCs w:val="21"/>
        </w:rPr>
        <w:t>M4C2</w:t>
      </w:r>
      <w:r w:rsidRPr="006C2C90">
        <w:rPr>
          <w:rFonts w:ascii="Titillium" w:eastAsia="Titilium" w:hAnsi="Titillium" w:cs="Titilium"/>
          <w:b/>
          <w:sz w:val="21"/>
          <w:szCs w:val="21"/>
        </w:rPr>
        <w:t xml:space="preserve">"), </w:t>
      </w:r>
      <w:r w:rsidRPr="006C2C90">
        <w:rPr>
          <w:rFonts w:ascii="Titillium" w:eastAsia="Titilium" w:hAnsi="Titillium" w:cs="Titilium"/>
          <w:b/>
          <w:i/>
          <w:sz w:val="21"/>
          <w:szCs w:val="21"/>
        </w:rPr>
        <w:t>Linea di Investimento 3.1", denominata "Rafforzamento e creazione di Infrastrutture di Ricerca", del "Piano Nazionale di Ripresa e Resilienza”</w:t>
      </w:r>
      <w:r w:rsidRPr="006C2C90">
        <w:rPr>
          <w:rFonts w:ascii="Titillium" w:eastAsia="Titilium" w:hAnsi="Titillium" w:cs="Titilium"/>
          <w:b/>
          <w:sz w:val="21"/>
          <w:szCs w:val="21"/>
        </w:rPr>
        <w:t>.</w:t>
      </w:r>
    </w:p>
    <w:p w:rsidR="006C2C90" w:rsidRPr="006C2C90" w:rsidRDefault="006C2C90" w:rsidP="006C2C90">
      <w:pPr>
        <w:spacing w:line="276" w:lineRule="auto"/>
        <w:ind w:left="0" w:hanging="2"/>
        <w:rPr>
          <w:rFonts w:ascii="Titillium" w:eastAsia="Titilium" w:hAnsi="Titillium" w:cs="Titilium"/>
          <w:b/>
          <w:sz w:val="21"/>
          <w:szCs w:val="21"/>
        </w:rPr>
      </w:pPr>
      <w:r w:rsidRPr="006C2C90">
        <w:rPr>
          <w:rFonts w:ascii="Titillium" w:eastAsia="Titilium" w:hAnsi="Titillium" w:cs="Titilium"/>
          <w:b/>
          <w:sz w:val="21"/>
          <w:szCs w:val="21"/>
        </w:rPr>
        <w:t>CUP: C53C22000880006</w:t>
      </w:r>
    </w:p>
    <w:p w:rsidR="0053567D" w:rsidRPr="007953A9" w:rsidRDefault="0053567D" w:rsidP="0053567D">
      <w:pPr>
        <w:spacing w:line="276" w:lineRule="auto"/>
        <w:ind w:left="0" w:hanging="2"/>
        <w:rPr>
          <w:rFonts w:ascii="Titillium" w:eastAsia="Titilium" w:hAnsi="Titillium" w:cs="Titilium"/>
          <w:sz w:val="21"/>
          <w:szCs w:val="21"/>
        </w:rPr>
      </w:pPr>
    </w:p>
    <w:p w:rsidR="002C11A7" w:rsidRDefault="002C11A7" w:rsidP="002C11A7">
      <w:pPr>
        <w:spacing w:line="240" w:lineRule="auto"/>
        <w:ind w:leftChars="0" w:left="2"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bl>
      <w:tblPr>
        <w:tblStyle w:val="a3"/>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2835"/>
        <w:gridCol w:w="6457"/>
      </w:tblGrid>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Il sottoscritto</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Codice fiscale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9854" w:type="dxa"/>
            <w:gridSpan w:val="3"/>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Nella sua qualità di:</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Titolare o Legale rappresentante</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Procuratore</w:t>
            </w: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Del concorrente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bl>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i/>
          <w:color w:val="000000"/>
          <w:sz w:val="21"/>
          <w:szCs w:val="21"/>
        </w:rPr>
        <w:t xml:space="preserve">(in caso di RTI o di Consorzio </w:t>
      </w:r>
      <w:r w:rsidRPr="005F2BF4">
        <w:rPr>
          <w:rFonts w:ascii="Titillium" w:eastAsia="Titilium" w:hAnsi="Titillium" w:cs="Titilium"/>
          <w:i/>
          <w:sz w:val="21"/>
          <w:szCs w:val="21"/>
        </w:rPr>
        <w:t xml:space="preserve">costituiti ai sensi </w:t>
      </w:r>
      <w:r w:rsidRPr="005F2BF4">
        <w:rPr>
          <w:rFonts w:ascii="Titillium" w:eastAsia="Titilium" w:hAnsi="Titillium" w:cs="Titilium"/>
          <w:i/>
          <w:color w:val="000000"/>
          <w:sz w:val="21"/>
          <w:szCs w:val="21"/>
        </w:rPr>
        <w:t xml:space="preserve">del codice dei contratti, </w:t>
      </w:r>
      <w:r w:rsidRPr="005F2BF4">
        <w:rPr>
          <w:rFonts w:ascii="Titillium" w:eastAsia="Titilium" w:hAnsi="Titillium" w:cs="Titilium"/>
          <w:i/>
          <w:sz w:val="21"/>
          <w:szCs w:val="21"/>
        </w:rPr>
        <w:t>anche</w:t>
      </w:r>
      <w:r w:rsidRPr="005F2BF4">
        <w:rPr>
          <w:rFonts w:ascii="Titillium" w:eastAsia="Titilium" w:hAnsi="Titillium" w:cs="Titilium"/>
          <w:i/>
          <w:color w:val="000000"/>
          <w:sz w:val="21"/>
          <w:szCs w:val="21"/>
        </w:rPr>
        <w:t xml:space="preserve"> costituendi, dal Consorzio e dalle consorziate designate quali esecutrici nonché per il G.E.I.E. non ancora costituito, replicare la tabella e compilarla per ogni sottoscrittore)</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ai fini della ammissione alla procedura di gara, ai sensi degli articoli 46 e 47 del D.P.R. 28 dicembre 2000, n. 445,</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della responsabilità e delle conseguenze civili e penali previste in caso di dichiarazioni mendaci e/o formazione od uso di atti falsi, nonché in caso di esibizione di atti contenenti dati non più corrispondenti a verità;</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consapevole/i che costituisce causa di esclusione del/dei concorrente/i il mancato rispetto, al momento della presentazione dell’offerta, degli obblighi in materia di lavoro delle persone con disabilità di cui alla L. 68/1999; </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che il mancato rispetto della quota di assunzioni di giovani e donne nella percentuale del 30%, come calcolata in base alle Linee guida approvate con Decreto della Presidenza del Consiglio dei Ministri – Dipartimento Pari Opportunità, 7/12/2021 (G.U.R.I. 30/12/2021), comporterà l’applicazione di una penale quantificata tra il 1% ed il 4% del valore della commessa, a seconda della gravità dell’inadempimento;</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r w:rsidRPr="005F2BF4">
        <w:rPr>
          <w:rFonts w:ascii="Titillium" w:eastAsia="Titilium" w:hAnsi="Titillium" w:cs="Titilium"/>
          <w:b/>
          <w:color w:val="000000"/>
          <w:sz w:val="21"/>
          <w:szCs w:val="21"/>
        </w:rPr>
        <w:t>DICHIARA/DICHIARANO</w:t>
      </w: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che il/i concorrente/i ha/hanno assolto gli obblighi in materia di lavoro delle persone con disabilità di cui alla legge 12 marzo 1999, n. 68;</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bookmarkStart w:id="1" w:name="_heading=h.gjdgxs" w:colFirst="0" w:colLast="0"/>
      <w:bookmarkEnd w:id="1"/>
      <w:r w:rsidRPr="005F2BF4">
        <w:rPr>
          <w:rFonts w:ascii="Titillium" w:eastAsia="Titilium" w:hAnsi="Titillium" w:cs="Titilium"/>
          <w:color w:val="000000"/>
          <w:sz w:val="21"/>
          <w:szCs w:val="21"/>
        </w:rPr>
        <w:lastRenderedPageBreak/>
        <w:t>che il/i concorrente/i, ai sensi di quanto disposto dall’art. 47, comma 4, del D.L. 77/2021, in caso di aggiudicazione del contratto, ove per l’esecuzione del contratto medesimo o per la realizzazione di attività ad esso connesse o strumentali, fosse necessario procedere con nuove assunzioni in numero pari o superiore a tre unità, assume/assumono l’obbligo di assicurare una quota pari:</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almeno al 30% delle nuove assunzioni necessarie all’occupazione giovanile; </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almeno al 30% delle nuove assunzioni necessarie all’occupazione femminile.</w:t>
      </w: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right"/>
        <w:rPr>
          <w:rFonts w:ascii="Titillium" w:eastAsia="Titilium" w:hAnsi="Titillium" w:cs="Titilium"/>
          <w:color w:val="000000"/>
          <w:sz w:val="21"/>
          <w:szCs w:val="21"/>
        </w:rPr>
      </w:pPr>
      <w:bookmarkStart w:id="2" w:name="_heading=h.30j0zll" w:colFirst="0" w:colLast="0"/>
      <w:bookmarkEnd w:id="2"/>
      <w:r w:rsidRPr="005F2BF4">
        <w:rPr>
          <w:rFonts w:ascii="Titillium" w:eastAsia="Titilium" w:hAnsi="Titillium" w:cs="Titilium"/>
          <w:color w:val="000000"/>
          <w:sz w:val="21"/>
          <w:szCs w:val="21"/>
        </w:rPr>
        <w:t>Firma digitale</w:t>
      </w:r>
      <w:r w:rsidRPr="005F2BF4">
        <w:rPr>
          <w:rFonts w:ascii="Titillium" w:eastAsia="Titilium" w:hAnsi="Titillium" w:cs="Titilium"/>
          <w:color w:val="000000"/>
          <w:sz w:val="21"/>
          <w:szCs w:val="21"/>
          <w:vertAlign w:val="superscript"/>
        </w:rPr>
        <w:footnoteReference w:id="1"/>
      </w:r>
      <w:r w:rsidRPr="005F2BF4">
        <w:rPr>
          <w:rFonts w:ascii="Titillium" w:eastAsia="Titilium" w:hAnsi="Titillium" w:cs="Titilium"/>
          <w:color w:val="000000"/>
          <w:sz w:val="21"/>
          <w:szCs w:val="21"/>
        </w:rPr>
        <w:t xml:space="preserve"> del legale rappresentante/procuratore</w:t>
      </w:r>
      <w:r w:rsidRPr="005F2BF4">
        <w:rPr>
          <w:rFonts w:ascii="Titillium" w:eastAsia="Titilium" w:hAnsi="Titillium" w:cs="Titilium"/>
          <w:color w:val="000000"/>
          <w:sz w:val="21"/>
          <w:szCs w:val="21"/>
          <w:vertAlign w:val="superscript"/>
        </w:rPr>
        <w:footnoteReference w:id="2"/>
      </w:r>
      <w:r w:rsidRPr="005F2BF4">
        <w:rPr>
          <w:rFonts w:ascii="Titillium" w:eastAsia="Titilium" w:hAnsi="Titillium" w:cs="Titilium"/>
          <w:color w:val="000000"/>
          <w:sz w:val="21"/>
          <w:szCs w:val="21"/>
        </w:rPr>
        <w:t xml:space="preserve"> di tutti i sottoscrittori</w:t>
      </w: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tbl>
      <w:tblPr>
        <w:tblStyle w:val="a4"/>
        <w:tblW w:w="942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8"/>
      </w:tblGrid>
      <w:tr w:rsidR="00D2726C" w:rsidRPr="005F2BF4">
        <w:tc>
          <w:tcPr>
            <w:tcW w:w="9428" w:type="dxa"/>
          </w:tcPr>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b/>
                <w:color w:val="000000"/>
                <w:sz w:val="21"/>
                <w:szCs w:val="21"/>
              </w:rPr>
              <w:t>CHIARIMENTI</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1) Come precisato nelle Linee guida approvate con Decreto della Presidenza del Consiglio dei Ministri – Dipartimento Pari Opportunità, 7/12/2021 (G.U.R.I. 30/12/2021), gli obiettivi di incremento occupazionale giovanile e di genere che si intendono perseguire con le risorse previste dal Regolamento (UE) 2021/240 del Parlamento europeo e del Consiglio del 10 febbraio 2021 e dal Regolamento (UE) 2021/241 del Parlamento europeo e del Consiglio del 12 febbraio 2021, </w:t>
            </w:r>
            <w:proofErr w:type="spellStart"/>
            <w:r w:rsidRPr="005F2BF4">
              <w:rPr>
                <w:rFonts w:ascii="Titillium" w:eastAsia="Titilium" w:hAnsi="Titillium" w:cs="Titilium"/>
                <w:color w:val="000000"/>
                <w:sz w:val="21"/>
                <w:szCs w:val="21"/>
              </w:rPr>
              <w:t>nonchè</w:t>
            </w:r>
            <w:proofErr w:type="spellEnd"/>
            <w:r w:rsidRPr="005F2BF4">
              <w:rPr>
                <w:rFonts w:ascii="Titillium" w:eastAsia="Titilium" w:hAnsi="Titillium" w:cs="Titilium"/>
                <w:color w:val="000000"/>
                <w:sz w:val="21"/>
                <w:szCs w:val="21"/>
              </w:rPr>
              <w:t xml:space="preserve"> dal PNC, costituiscono due distinti target di policy. Ciò significa che nelle procedure di affidamento si deve intendere autonomo il target di incremento dell'occupazione giovanile rispetto a quello dell'occupazione femminile. L'obbligo è finalizzato a garantire un incremento sia dei lavoratori giovani sia delle lavoratrici e pertanto la percentuale di incremento deve essere assicurata con riferimento ad entrambe le tipologie. </w:t>
            </w: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Fatte salve le deroghe di cui al comma 7, va dunque, ad esempio, esclusa un'azienda che si impegna all'incremento del 30 per cento ottenuto con il 20 per cento di giovani e il 10 per cento di donne, salvo che queste percentuali non rispecchino i criteri per l'applicazione delle deroghe indicati nel seguito. Diversamente va ammessa, ad esempio, l'azienda che garantisce l'impegno con assunzioni che, sebbene nominalmente non superano la percentuale del 30 per cento, garantiscono tuttavia il target con un numero inferiore di unità in tutto o in parte caratterizzate dal doppio requisito di genere ed età (30 per cento di donne con meno di 36 anni oppure 20 per cento di donne con meno di 36 anni, 10 per cento di donne di almeno 36 anni e 10 per cento di uomini con meno di 36 anni). Ad ogni modo, per i dettagli operativo sulle modalità di calcolo, si rinvia alle già citate linee guida.</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2) Al fine di evitare che l’assunzione dell’obbligo in dichiarazione possa disincentivare la partecipazione o, ancora, determinare negli operatori il convincimento a non allegare la dichiarazione, che costituisce requisito necessario dell’offerta, passibile di esclusione, si ritiene di dover riportare, ad integrazione di quanto indicato nelle già citate linee guida, la risposta data al quesito sottostante dal Servizio Supporto Giuridico del MIT (Codice identificativo: 1133 Data ricezione: 12/01/2022 Argomento: Appalti PNRR e PNC):</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Oggetto: Contratti finanziati con PNRR - requisito quota 30% di assunzioni occupazione giovanile e femminile</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Quesito</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Per i contratti pubblici finanziati con risorse del PNRR e del PNC al comma 4 dell'art. 47 del Decreto legge 31 maggio 2021 n. 77 è previsto, quale requisito necessario per l’offerta, 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femminile. Si chiede a riguardo cosa si intenda per "assunzioni necessarie" e, in particolare, se tale obbligo di assunzione sussista solo qualora il datore di lavoro abbia una effettiva necessità di ricorrere a nuove assunzioni per poter svolgere le attività oggetto della gara, e quindi la misura del 30% sia da riferirsi al numero di nuovi assunti, oppure se sussista l'obbligo di effettuare nuovi assunzioni anche nel caso in cui il datore di lavoro abbia già un numero di dipendenti tale da consentirgli di eseguire le attività oggetto della gara.</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u w:val="single"/>
              </w:rPr>
            </w:pPr>
            <w:r w:rsidRPr="005F2BF4">
              <w:rPr>
                <w:rFonts w:ascii="Titillium" w:eastAsia="Titilium" w:hAnsi="Titillium" w:cs="Titilium"/>
                <w:b/>
                <w:color w:val="000000"/>
                <w:sz w:val="21"/>
                <w:szCs w:val="21"/>
              </w:rPr>
              <w:t>Risposta</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 xml:space="preserve">In merito all’assunzione dell'obbligo di assicurare, in caso di aggiudicazioni ricadenti nel PNRR e PNC, si rinvia alle previsioni di cui al Paragrafo 5 delle “Linee guida volte a favorire la pari opportunità di genere e generazionali, nonché l'inclusione lavorativa delle persone con disabilità nei contratti pubblici finanziati con le risorse del PNRR e del PNC” approvate con DM 7 dicembre 2021, pubblicate nella Gazzetta Ufficiale 30 dicembre 2021, n. 309. In base a dette Linee guida la quota del 30% dei neoassunti destinati a nuova occupazione giovanile e femminile (art. 47, comma 4, del DL n. 77/2021), </w:t>
            </w:r>
            <w:r w:rsidRPr="005F2BF4">
              <w:rPr>
                <w:rFonts w:ascii="Titillium" w:eastAsia="Titilium" w:hAnsi="Titillium" w:cs="Titilium"/>
                <w:i/>
                <w:color w:val="000000"/>
                <w:sz w:val="21"/>
                <w:szCs w:val="21"/>
                <w:u w:val="single"/>
              </w:rPr>
              <w:t>deve essere riferita unicamente alle assunzioni “necessarie per l'esecuzione del contratto o per la realizzazione di attività ad esso connesse o strumentali”, da determinarsi avendo riguardo all’intero arco temporale di esecuzione del contratto ed applicando un criterio di funzionalità di dette nuove assunzioni rispetto all’esecuzione del contratto aggiudicato nei tempi e secondo le modalità previste.</w:t>
            </w: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i/>
                <w:color w:val="000000"/>
                <w:sz w:val="21"/>
                <w:szCs w:val="21"/>
              </w:rPr>
              <w:t>Non è richiesto, quindi, che l’operatore si impegni ad assumere personale, nel caso in cui la prestazione possa essere eseguita con personale già contrattualizzato.</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c>
      </w:tr>
    </w:tbl>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u w:val="single"/>
        </w:rPr>
      </w:pP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sectPr w:rsidR="00D2726C" w:rsidRPr="005F2BF4">
      <w:headerReference w:type="even" r:id="rId8"/>
      <w:headerReference w:type="default" r:id="rId9"/>
      <w:footerReference w:type="even" r:id="rId10"/>
      <w:footerReference w:type="default" r:id="rId11"/>
      <w:headerReference w:type="first" r:id="rId12"/>
      <w:footerReference w:type="first" r:id="rId13"/>
      <w:pgSz w:w="11906" w:h="16838"/>
      <w:pgMar w:top="154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5B6" w:rsidRDefault="007175B6">
      <w:pPr>
        <w:spacing w:line="240" w:lineRule="auto"/>
        <w:ind w:left="0" w:hanging="2"/>
      </w:pPr>
      <w:r>
        <w:separator/>
      </w:r>
    </w:p>
  </w:endnote>
  <w:endnote w:type="continuationSeparator" w:id="0">
    <w:p w:rsidR="007175B6" w:rsidRDefault="007175B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altName w:val="Calibri"/>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iti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0614CE">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6C2C90">
      <w:rPr>
        <w:noProof/>
        <w:color w:val="000000"/>
      </w:rPr>
      <w:t>3</w:t>
    </w:r>
    <w:r>
      <w:rPr>
        <w:color w:val="000000"/>
      </w:rPr>
      <w:fldChar w:fldCharType="end"/>
    </w:r>
  </w:p>
  <w:p w:rsidR="00D2726C" w:rsidRDefault="00D2726C">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5B6" w:rsidRDefault="007175B6">
      <w:pPr>
        <w:spacing w:line="240" w:lineRule="auto"/>
        <w:ind w:left="0" w:hanging="2"/>
      </w:pPr>
      <w:r>
        <w:separator/>
      </w:r>
    </w:p>
  </w:footnote>
  <w:footnote w:type="continuationSeparator" w:id="0">
    <w:p w:rsidR="007175B6" w:rsidRDefault="007175B6">
      <w:pPr>
        <w:spacing w:line="240" w:lineRule="auto"/>
        <w:ind w:left="0" w:hanging="2"/>
      </w:pPr>
      <w:r>
        <w:continuationSeparator/>
      </w:r>
    </w:p>
  </w:footnote>
  <w:footnote w:id="1">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Per gli operatori economici italiani o stranieri residenti in Italia, la dichiarazione deve essere sottoscritta da un legale rappresentante ovvero da un procuratore</w:t>
      </w:r>
      <w:r>
        <w:rPr>
          <w:rFonts w:ascii="Titilium" w:eastAsia="Titilium" w:hAnsi="Titilium" w:cs="Titilium"/>
          <w:color w:val="000000"/>
          <w:sz w:val="16"/>
          <w:vertAlign w:val="superscript"/>
        </w:rPr>
        <w:t>3</w:t>
      </w:r>
      <w:r>
        <w:rPr>
          <w:rFonts w:ascii="Titilium" w:eastAsia="Titilium" w:hAnsi="Titilium" w:cs="Titilium"/>
          <w:color w:val="000000"/>
          <w:sz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bookmarkStart w:id="3" w:name="_heading=h.1fob9te" w:colFirst="0" w:colLast="0"/>
      <w:bookmarkEnd w:id="3"/>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2C11A7">
    <w:pPr>
      <w:spacing w:before="108"/>
      <w:ind w:left="0" w:right="72" w:hanging="2"/>
      <w:jc w:val="both"/>
      <w:rPr>
        <w:rFonts w:ascii="Times New Roman" w:eastAsia="Times New Roman" w:hAnsi="Times New Roman" w:cs="Times New Roman"/>
        <w:sz w:val="10"/>
        <w:szCs w:val="10"/>
        <w:vertAlign w:val="superscript"/>
      </w:rPr>
    </w:pPr>
    <w:r>
      <w:rPr>
        <w:rFonts w:ascii="Times New Roman" w:eastAsia="Times New Roman" w:hAnsi="Times New Roman" w:cs="Times New Roman"/>
        <w:b/>
        <w:noProof/>
        <w:sz w:val="24"/>
        <w:szCs w:val="24"/>
      </w:rPr>
      <w:drawing>
        <wp:anchor distT="0" distB="0" distL="114300" distR="114300" simplePos="0" relativeHeight="251658240" behindDoc="1" locked="0" layoutInCell="1" allowOverlap="1" wp14:anchorId="441ABD69" wp14:editId="50E14534">
          <wp:simplePos x="0" y="0"/>
          <wp:positionH relativeFrom="page">
            <wp:align>right</wp:align>
          </wp:positionH>
          <wp:positionV relativeFrom="paragraph">
            <wp:posOffset>-210820</wp:posOffset>
          </wp:positionV>
          <wp:extent cx="7879080" cy="830580"/>
          <wp:effectExtent l="0" t="0" r="7620" b="7620"/>
          <wp:wrapTight wrapText="bothSides">
            <wp:wrapPolygon edited="0">
              <wp:start x="0" y="0"/>
              <wp:lineTo x="0" y="21303"/>
              <wp:lineTo x="21569" y="21303"/>
              <wp:lineTo x="21569"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879080" cy="830580"/>
                  </a:xfrm>
                  <a:prstGeom prst="rect">
                    <a:avLst/>
                  </a:prstGeom>
                  <a:ln/>
                </pic:spPr>
              </pic:pic>
            </a:graphicData>
          </a:graphic>
          <wp14:sizeRelH relativeFrom="margin">
            <wp14:pctWidth>0</wp14:pctWidth>
          </wp14:sizeRelH>
          <wp14:sizeRelV relativeFrom="margin">
            <wp14:pctHeight>0</wp14:pctHeight>
          </wp14:sizeRelV>
        </wp:anchor>
      </w:drawing>
    </w:r>
  </w:p>
  <w:p w:rsidR="00D2726C" w:rsidRDefault="00D2726C">
    <w:pPr>
      <w:tabs>
        <w:tab w:val="center" w:pos="4819"/>
        <w:tab w:val="right" w:pos="9638"/>
      </w:tabs>
      <w:ind w:left="0" w:hanging="2"/>
      <w:jc w:val="both"/>
    </w:pPr>
  </w:p>
  <w:p w:rsidR="00D2726C" w:rsidRDefault="00D2726C">
    <w:pPr>
      <w:tabs>
        <w:tab w:val="center" w:pos="4819"/>
        <w:tab w:val="right" w:pos="9638"/>
      </w:tabs>
      <w:ind w:left="0" w:hanging="2"/>
      <w:jc w:val="both"/>
    </w:pPr>
  </w:p>
  <w:p w:rsidR="00D2726C" w:rsidRDefault="00D2726C">
    <w:pPr>
      <w:pBdr>
        <w:top w:val="nil"/>
        <w:left w:val="nil"/>
        <w:bottom w:val="nil"/>
        <w:right w:val="nil"/>
        <w:between w:val="nil"/>
      </w:pBdr>
      <w:spacing w:line="240" w:lineRule="auto"/>
      <w:ind w:left="0" w:hanging="2"/>
      <w:jc w:val="center"/>
      <w:rPr>
        <w:rFonts w:ascii="Times New Roman" w:eastAsia="Times New Roman" w:hAnsi="Times New Roman" w:cs="Times New Roman"/>
        <w:b/>
        <w:sz w:val="24"/>
        <w:szCs w:val="24"/>
      </w:rPr>
    </w:pPr>
  </w:p>
  <w:p w:rsidR="00D2726C" w:rsidRDefault="00D2726C">
    <w:pPr>
      <w:tabs>
        <w:tab w:val="center" w:pos="4819"/>
        <w:tab w:val="right" w:pos="9638"/>
      </w:tabs>
      <w:ind w:left="0" w:hanging="2"/>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3E2F22"/>
    <w:multiLevelType w:val="multilevel"/>
    <w:tmpl w:val="D1EAB7E6"/>
    <w:lvl w:ilvl="0">
      <w:start w:val="1"/>
      <w:numFmt w:val="bullet"/>
      <w:lvlText w:val="●"/>
      <w:lvlJc w:val="left"/>
      <w:pPr>
        <w:ind w:left="1425" w:hanging="705"/>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26C"/>
    <w:rsid w:val="000614CE"/>
    <w:rsid w:val="00131A7D"/>
    <w:rsid w:val="002C11A7"/>
    <w:rsid w:val="003171DF"/>
    <w:rsid w:val="004B4BD5"/>
    <w:rsid w:val="0053567D"/>
    <w:rsid w:val="005F2BF4"/>
    <w:rsid w:val="005F711F"/>
    <w:rsid w:val="006C2C90"/>
    <w:rsid w:val="006E1819"/>
    <w:rsid w:val="00703FB2"/>
    <w:rsid w:val="007175B6"/>
    <w:rsid w:val="00933CDC"/>
    <w:rsid w:val="009555B4"/>
    <w:rsid w:val="00970412"/>
    <w:rsid w:val="009B3AE5"/>
    <w:rsid w:val="00B26D40"/>
    <w:rsid w:val="00BE174F"/>
    <w:rsid w:val="00D2726C"/>
    <w:rsid w:val="00D35723"/>
    <w:rsid w:val="00F34D29"/>
    <w:rsid w:val="00F660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AC52AE-B87F-4A22-89F5-FB01A9E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spacing w:line="1" w:lineRule="atLeast"/>
      <w:ind w:leftChars="-1" w:left="-1" w:hangingChars="1"/>
      <w:textDirection w:val="btLr"/>
      <w:textAlignment w:val="top"/>
      <w:outlineLvl w:val="0"/>
    </w:pPr>
    <w:rPr>
      <w:position w:val="-1"/>
      <w:szCs w:val="16"/>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spacing w:before="240" w:after="60"/>
      <w:outlineLvl w:val="3"/>
    </w:pPr>
    <w:rPr>
      <w:rFonts w:eastAsia="Times New Roman"/>
      <w:b/>
      <w:bCs/>
      <w:sz w:val="28"/>
      <w:szCs w:val="28"/>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4Carattere">
    <w:name w:val="Titolo 4 Carattere"/>
    <w:rPr>
      <w:rFonts w:ascii="Calibri" w:eastAsia="Times New Roman" w:hAnsi="Calibri" w:cs="Times New Roman"/>
      <w:b/>
      <w:bCs/>
      <w:w w:val="100"/>
      <w:kern w:val="0"/>
      <w:position w:val="-1"/>
      <w:sz w:val="28"/>
      <w:szCs w:val="28"/>
      <w:effect w:val="none"/>
      <w:vertAlign w:val="baseline"/>
      <w:cs w:val="0"/>
      <w:em w:val="none"/>
      <w:lang w:val="it-IT" w:eastAsia="it-IT"/>
    </w:rPr>
  </w:style>
  <w:style w:type="paragraph" w:styleId="Pidipagina">
    <w:name w:val="footer"/>
    <w:basedOn w:val="Normale"/>
    <w:qFormat/>
    <w:pPr>
      <w:tabs>
        <w:tab w:val="center" w:pos="4819"/>
        <w:tab w:val="right" w:pos="9638"/>
      </w:tabs>
    </w:pPr>
  </w:style>
  <w:style w:type="character" w:customStyle="1" w:styleId="PidipaginaCarattere">
    <w:name w:val="Piè di pagina Carattere"/>
    <w:rPr>
      <w:w w:val="100"/>
      <w:kern w:val="0"/>
      <w:position w:val="-1"/>
      <w:sz w:val="20"/>
      <w:szCs w:val="16"/>
      <w:effect w:val="none"/>
      <w:vertAlign w:val="baseline"/>
      <w:cs w:val="0"/>
      <w:em w:val="none"/>
      <w:lang w:val="it-IT" w:eastAsia="it-IT"/>
    </w:rPr>
  </w:style>
  <w:style w:type="paragraph" w:customStyle="1" w:styleId="usoboll1">
    <w:name w:val="usoboll1"/>
    <w:basedOn w:val="Normale"/>
    <w:pPr>
      <w:widowControl w:val="0"/>
      <w:spacing w:line="482" w:lineRule="atLeast"/>
      <w:jc w:val="both"/>
    </w:pPr>
    <w:rPr>
      <w:rFonts w:ascii="Times New Roman" w:eastAsia="Times New Roman" w:hAnsi="Times New Roman"/>
      <w:sz w:val="24"/>
      <w:szCs w:val="20"/>
    </w:rPr>
  </w:style>
  <w:style w:type="paragraph" w:styleId="Corpodeltesto2">
    <w:name w:val="Body Text 2"/>
    <w:basedOn w:val="Normale"/>
    <w:qFormat/>
    <w:pPr>
      <w:spacing w:after="120" w:line="480" w:lineRule="auto"/>
    </w:pPr>
  </w:style>
  <w:style w:type="character" w:customStyle="1" w:styleId="Corpodeltesto2Carattere">
    <w:name w:val="Corpo del testo 2 Carattere"/>
    <w:rPr>
      <w:w w:val="100"/>
      <w:kern w:val="0"/>
      <w:position w:val="-1"/>
      <w:sz w:val="20"/>
      <w:szCs w:val="16"/>
      <w:effect w:val="none"/>
      <w:vertAlign w:val="baseline"/>
      <w:cs w:val="0"/>
      <w:em w:val="none"/>
      <w:lang w:val="it-IT" w:eastAsia="it-IT"/>
    </w:rPr>
  </w:style>
  <w:style w:type="table" w:styleId="Grigliatabella">
    <w:name w:val="Table Grid"/>
    <w:basedOn w:val="Tabellanormale"/>
    <w:pPr>
      <w:suppressAutoHyphens/>
      <w:ind w:leftChars="-1" w:left="-1" w:hangingChars="1"/>
      <w:textDirection w:val="btLr"/>
      <w:textAlignment w:val="top"/>
      <w:outlineLvl w:val="0"/>
    </w:pPr>
    <w:rPr>
      <w:rFonts w:ascii="Times New Roman" w:eastAsia="Times New Roman" w:hAnsi="Times New Roman" w:cs="Times New Roman"/>
      <w:position w:val="-1"/>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pPr>
      <w:autoSpaceDE w:val="0"/>
      <w:autoSpaceDN w:val="0"/>
    </w:pPr>
    <w:rPr>
      <w:rFonts w:ascii="Times New Roman" w:eastAsia="Times New Roman" w:hAnsi="Times New Roman"/>
      <w:szCs w:val="20"/>
    </w:rPr>
  </w:style>
  <w:style w:type="character" w:customStyle="1" w:styleId="TestonotaapidipaginaCarattere">
    <w:name w:val="Testo nota a piè di pagina Carattere"/>
    <w:rPr>
      <w:rFonts w:ascii="Times New Roman" w:eastAsia="Times New Roman" w:hAnsi="Times New Roman" w:cs="Times New Roman"/>
      <w:w w:val="100"/>
      <w:kern w:val="0"/>
      <w:position w:val="-1"/>
      <w:sz w:val="20"/>
      <w:szCs w:val="20"/>
      <w:effect w:val="none"/>
      <w:vertAlign w:val="baseline"/>
      <w:cs w:val="0"/>
      <w:em w:val="none"/>
      <w:lang w:val="it-IT" w:eastAsia="it-IT"/>
    </w:rPr>
  </w:style>
  <w:style w:type="character" w:styleId="Rimandonotaapidipagina">
    <w:name w:val="footnote reference"/>
    <w:rPr>
      <w:w w:val="100"/>
      <w:position w:val="-1"/>
      <w:effect w:val="none"/>
      <w:vertAlign w:val="superscript"/>
      <w:cs w:val="0"/>
      <w:em w:val="none"/>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920F04"/>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920F04"/>
    <w:rPr>
      <w:position w:val="-1"/>
      <w:szCs w:val="16"/>
    </w:r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0883">
      <w:bodyDiv w:val="1"/>
      <w:marLeft w:val="0"/>
      <w:marRight w:val="0"/>
      <w:marTop w:val="0"/>
      <w:marBottom w:val="0"/>
      <w:divBdr>
        <w:top w:val="none" w:sz="0" w:space="0" w:color="auto"/>
        <w:left w:val="none" w:sz="0" w:space="0" w:color="auto"/>
        <w:bottom w:val="none" w:sz="0" w:space="0" w:color="auto"/>
        <w:right w:val="none" w:sz="0" w:space="0" w:color="auto"/>
      </w:divBdr>
    </w:div>
    <w:div w:id="703020013">
      <w:bodyDiv w:val="1"/>
      <w:marLeft w:val="0"/>
      <w:marRight w:val="0"/>
      <w:marTop w:val="0"/>
      <w:marBottom w:val="0"/>
      <w:divBdr>
        <w:top w:val="none" w:sz="0" w:space="0" w:color="auto"/>
        <w:left w:val="none" w:sz="0" w:space="0" w:color="auto"/>
        <w:bottom w:val="none" w:sz="0" w:space="0" w:color="auto"/>
        <w:right w:val="none" w:sz="0" w:space="0" w:color="auto"/>
      </w:divBdr>
    </w:div>
    <w:div w:id="1383090593">
      <w:bodyDiv w:val="1"/>
      <w:marLeft w:val="0"/>
      <w:marRight w:val="0"/>
      <w:marTop w:val="0"/>
      <w:marBottom w:val="0"/>
      <w:divBdr>
        <w:top w:val="none" w:sz="0" w:space="0" w:color="auto"/>
        <w:left w:val="none" w:sz="0" w:space="0" w:color="auto"/>
        <w:bottom w:val="none" w:sz="0" w:space="0" w:color="auto"/>
        <w:right w:val="none" w:sz="0" w:space="0" w:color="auto"/>
      </w:divBdr>
    </w:div>
    <w:div w:id="2124962321">
      <w:bodyDiv w:val="1"/>
      <w:marLeft w:val="0"/>
      <w:marRight w:val="0"/>
      <w:marTop w:val="0"/>
      <w:marBottom w:val="0"/>
      <w:divBdr>
        <w:top w:val="none" w:sz="0" w:space="0" w:color="auto"/>
        <w:left w:val="none" w:sz="0" w:space="0" w:color="auto"/>
        <w:bottom w:val="none" w:sz="0" w:space="0" w:color="auto"/>
        <w:right w:val="none" w:sz="0" w:space="0" w:color="auto"/>
      </w:divBdr>
    </w:div>
    <w:div w:id="2132048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VvvsUmfe9nSXKoMUXdedXwxMA==">CgMxLjAyCGguZ2pkZ3hzMgloLjMwajB6bGwyCWguMWZvYjl0ZTgAciExcmhmU0J3aDM4cGZrZ1VVekd3bmszVmgzcGFDVXgzSlQ=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1143</Words>
  <Characters>6518</Characters>
  <Application>Microsoft Office Word</Application>
  <DocSecurity>0</DocSecurity>
  <Lines>54</Lines>
  <Paragraphs>15</Paragraphs>
  <ScaleCrop>false</ScaleCrop>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13</cp:revision>
  <dcterms:created xsi:type="dcterms:W3CDTF">2023-11-03T12:27:00Z</dcterms:created>
  <dcterms:modified xsi:type="dcterms:W3CDTF">2025-09-15T14:54:00Z</dcterms:modified>
</cp:coreProperties>
</file>