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B26" w:rsidRPr="00330A3D" w:rsidRDefault="00984B26" w:rsidP="00330A3D">
      <w:pPr>
        <w:spacing w:after="0" w:line="240" w:lineRule="auto"/>
        <w:rPr>
          <w:rFonts w:ascii="Titillium" w:eastAsia="Titilium" w:hAnsi="Titillium" w:cs="Titilium"/>
          <w:sz w:val="21"/>
          <w:szCs w:val="21"/>
        </w:rPr>
      </w:pPr>
    </w:p>
    <w:p w:rsidR="00B10B08" w:rsidRPr="00F84A9D" w:rsidRDefault="00F84A9D" w:rsidP="00330A3D">
      <w:pPr>
        <w:spacing w:after="0" w:line="240" w:lineRule="auto"/>
        <w:rPr>
          <w:rFonts w:ascii="Titillium" w:eastAsia="Titilium" w:hAnsi="Titillium" w:cs="Titilium"/>
          <w:b/>
          <w:sz w:val="24"/>
          <w:szCs w:val="24"/>
        </w:rPr>
      </w:pPr>
      <w:r w:rsidRPr="00F84A9D">
        <w:rPr>
          <w:rFonts w:ascii="Titillium" w:eastAsia="Titilium" w:hAnsi="Titillium" w:cs="Titilium"/>
          <w:b/>
          <w:sz w:val="24"/>
          <w:szCs w:val="24"/>
        </w:rPr>
        <w:t>DICHIARAZIONI INTEGRATIVE AL DGUE</w:t>
      </w:r>
    </w:p>
    <w:p w:rsidR="00F84A9D" w:rsidRPr="00330A3D" w:rsidRDefault="00F84A9D" w:rsidP="00330A3D">
      <w:pPr>
        <w:spacing w:after="0" w:line="240" w:lineRule="auto"/>
        <w:rPr>
          <w:rFonts w:ascii="Titillium" w:eastAsia="Titilium" w:hAnsi="Titillium" w:cs="Titilium"/>
          <w:b/>
          <w:sz w:val="21"/>
          <w:szCs w:val="21"/>
        </w:rPr>
      </w:pPr>
    </w:p>
    <w:p w:rsidR="003F3F14" w:rsidRPr="003F3F14" w:rsidRDefault="003F3F14" w:rsidP="003F3F14">
      <w:pPr>
        <w:spacing w:after="0" w:line="240" w:lineRule="auto"/>
        <w:jc w:val="both"/>
        <w:rPr>
          <w:rFonts w:ascii="Titillium" w:eastAsia="Titilium" w:hAnsi="Titillium" w:cs="Titilium"/>
          <w:b/>
          <w:sz w:val="21"/>
          <w:szCs w:val="21"/>
        </w:rPr>
      </w:pPr>
      <w:r w:rsidRPr="003F3F14">
        <w:rPr>
          <w:rFonts w:ascii="Titillium" w:eastAsia="Titilium" w:hAnsi="Titillium" w:cs="Titilium"/>
          <w:b/>
          <w:sz w:val="21"/>
          <w:szCs w:val="21"/>
        </w:rPr>
        <w:t xml:space="preserve">Affidamento diretto </w:t>
      </w:r>
      <w:r w:rsidRPr="003F3F14">
        <w:rPr>
          <w:rFonts w:ascii="Titillium" w:eastAsia="Titilium" w:hAnsi="Titillium" w:cs="Titilium"/>
          <w:b/>
          <w:bCs/>
          <w:sz w:val="21"/>
          <w:szCs w:val="21"/>
          <w:lang w:val="it"/>
        </w:rPr>
        <w:t>fornitura di materiale ed installazione della nuova movimentazione e della nuova linea focale del ramo est/ovest dell’antenna “Croce del Nord” presso la stazione Radioastronomica di Medicina (BO)</w:t>
      </w:r>
      <w:r w:rsidRPr="003F3F14">
        <w:rPr>
          <w:rFonts w:ascii="Titillium" w:eastAsia="Titilium" w:hAnsi="Titillium" w:cs="Titilium"/>
          <w:b/>
          <w:bCs/>
          <w:sz w:val="21"/>
          <w:szCs w:val="21"/>
        </w:rPr>
        <w:t>,</w:t>
      </w:r>
      <w:r w:rsidRPr="003F3F14">
        <w:rPr>
          <w:rFonts w:ascii="Titillium" w:eastAsia="Titilium" w:hAnsi="Titillium" w:cs="Titilium"/>
          <w:b/>
          <w:sz w:val="21"/>
          <w:szCs w:val="21"/>
        </w:rPr>
        <w:t xml:space="preserve"> per le esigenze del Progetto PNRR - IR0000026 </w:t>
      </w:r>
      <w:proofErr w:type="spellStart"/>
      <w:r w:rsidRPr="003F3F14">
        <w:rPr>
          <w:rFonts w:ascii="Titillium" w:eastAsia="Titilium" w:hAnsi="Titillium" w:cs="Titilium"/>
          <w:b/>
          <w:sz w:val="21"/>
          <w:szCs w:val="21"/>
        </w:rPr>
        <w:t>NextGeneration</w:t>
      </w:r>
      <w:proofErr w:type="spellEnd"/>
      <w:r w:rsidRPr="003F3F14">
        <w:rPr>
          <w:rFonts w:ascii="Titillium" w:eastAsia="Titilium" w:hAnsi="Titillium" w:cs="Titilium"/>
          <w:b/>
          <w:sz w:val="21"/>
          <w:szCs w:val="21"/>
        </w:rPr>
        <w:t xml:space="preserve"> Croce “NG-CROCE”, Codice Identificativo: IR0000026, Codice Unico di Progetto:  C53C22000880006, ammesso a finanziamento nell’ambito degli "</w:t>
      </w:r>
      <w:r w:rsidRPr="003F3F14">
        <w:rPr>
          <w:rFonts w:ascii="Titillium" w:eastAsia="Titilium" w:hAnsi="Titillium" w:cs="Titilium"/>
          <w:b/>
          <w:i/>
          <w:sz w:val="21"/>
          <w:szCs w:val="21"/>
        </w:rPr>
        <w:t>Interventi</w:t>
      </w:r>
      <w:r w:rsidRPr="003F3F14">
        <w:rPr>
          <w:rFonts w:ascii="Titillium" w:eastAsia="Titilium" w:hAnsi="Titillium" w:cs="Titilium"/>
          <w:b/>
          <w:sz w:val="21"/>
          <w:szCs w:val="21"/>
        </w:rPr>
        <w:t>" previsti dalla "</w:t>
      </w:r>
      <w:r w:rsidRPr="003F3F14">
        <w:rPr>
          <w:rFonts w:ascii="Titillium" w:eastAsia="Titilium" w:hAnsi="Titillium" w:cs="Titilium"/>
          <w:b/>
          <w:i/>
          <w:sz w:val="21"/>
          <w:szCs w:val="21"/>
        </w:rPr>
        <w:t>Missione 4</w:t>
      </w:r>
      <w:r w:rsidRPr="003F3F14">
        <w:rPr>
          <w:rFonts w:ascii="Titillium" w:eastAsia="Titilium" w:hAnsi="Titillium" w:cs="Titilium"/>
          <w:b/>
          <w:sz w:val="21"/>
          <w:szCs w:val="21"/>
        </w:rPr>
        <w:t>", denominata "</w:t>
      </w:r>
      <w:r w:rsidRPr="003F3F14">
        <w:rPr>
          <w:rFonts w:ascii="Titillium" w:eastAsia="Titilium" w:hAnsi="Titillium" w:cs="Titilium"/>
          <w:b/>
          <w:i/>
          <w:sz w:val="21"/>
          <w:szCs w:val="21"/>
        </w:rPr>
        <w:t>Istruzione e Ricerca</w:t>
      </w:r>
      <w:r w:rsidRPr="003F3F14">
        <w:rPr>
          <w:rFonts w:ascii="Titillium" w:eastAsia="Titilium" w:hAnsi="Titillium" w:cs="Titilium"/>
          <w:b/>
          <w:sz w:val="21"/>
          <w:szCs w:val="21"/>
        </w:rPr>
        <w:t>", "</w:t>
      </w:r>
      <w:r w:rsidRPr="003F3F14">
        <w:rPr>
          <w:rFonts w:ascii="Titillium" w:eastAsia="Titilium" w:hAnsi="Titillium" w:cs="Titilium"/>
          <w:b/>
          <w:i/>
          <w:sz w:val="21"/>
          <w:szCs w:val="21"/>
        </w:rPr>
        <w:t>Componente 2</w:t>
      </w:r>
      <w:r w:rsidRPr="003F3F14">
        <w:rPr>
          <w:rFonts w:ascii="Titillium" w:eastAsia="Titilium" w:hAnsi="Titillium" w:cs="Titilium"/>
          <w:b/>
          <w:sz w:val="21"/>
          <w:szCs w:val="21"/>
        </w:rPr>
        <w:t>", denominata "</w:t>
      </w:r>
      <w:r w:rsidRPr="003F3F14">
        <w:rPr>
          <w:rFonts w:ascii="Titillium" w:eastAsia="Titilium" w:hAnsi="Titillium" w:cs="Titilium"/>
          <w:b/>
          <w:i/>
          <w:sz w:val="21"/>
          <w:szCs w:val="21"/>
        </w:rPr>
        <w:t>Dalla Ricerca alla Impresa</w:t>
      </w:r>
      <w:r w:rsidRPr="003F3F14">
        <w:rPr>
          <w:rFonts w:ascii="Titillium" w:eastAsia="Titilium" w:hAnsi="Titillium" w:cs="Titilium"/>
          <w:b/>
          <w:sz w:val="21"/>
          <w:szCs w:val="21"/>
        </w:rPr>
        <w:t>" ("</w:t>
      </w:r>
      <w:r w:rsidRPr="003F3F14">
        <w:rPr>
          <w:rFonts w:ascii="Titillium" w:eastAsia="Titilium" w:hAnsi="Titillium" w:cs="Titilium"/>
          <w:b/>
          <w:i/>
          <w:sz w:val="21"/>
          <w:szCs w:val="21"/>
        </w:rPr>
        <w:t>M4C2</w:t>
      </w:r>
      <w:r w:rsidRPr="003F3F14">
        <w:rPr>
          <w:rFonts w:ascii="Titillium" w:eastAsia="Titilium" w:hAnsi="Titillium" w:cs="Titilium"/>
          <w:b/>
          <w:sz w:val="21"/>
          <w:szCs w:val="21"/>
        </w:rPr>
        <w:t xml:space="preserve">"), </w:t>
      </w:r>
      <w:r w:rsidRPr="003F3F14">
        <w:rPr>
          <w:rFonts w:ascii="Titillium" w:eastAsia="Titilium" w:hAnsi="Titillium" w:cs="Titilium"/>
          <w:b/>
          <w:i/>
          <w:sz w:val="21"/>
          <w:szCs w:val="21"/>
        </w:rPr>
        <w:t>Linea di Investimento 3.1", denominata "Rafforzamento e creazione di Infrastrutture di Ricerca", del "Piano Nazionale di Ripresa e Resilienza”</w:t>
      </w:r>
      <w:r w:rsidRPr="003F3F14">
        <w:rPr>
          <w:rFonts w:ascii="Titillium" w:eastAsia="Titilium" w:hAnsi="Titillium" w:cs="Titilium"/>
          <w:b/>
          <w:sz w:val="21"/>
          <w:szCs w:val="21"/>
        </w:rPr>
        <w:t>.</w:t>
      </w:r>
    </w:p>
    <w:p w:rsidR="003F3F14" w:rsidRPr="003F3F14" w:rsidRDefault="003F3F14" w:rsidP="003F3F14">
      <w:pPr>
        <w:spacing w:after="0" w:line="240" w:lineRule="auto"/>
        <w:jc w:val="both"/>
        <w:rPr>
          <w:rFonts w:ascii="Titillium" w:eastAsia="Titilium" w:hAnsi="Titillium" w:cs="Titilium"/>
          <w:b/>
          <w:sz w:val="21"/>
          <w:szCs w:val="21"/>
        </w:rPr>
      </w:pPr>
      <w:r w:rsidRPr="003F3F14">
        <w:rPr>
          <w:rFonts w:ascii="Titillium" w:eastAsia="Titilium" w:hAnsi="Titillium" w:cs="Titilium"/>
          <w:b/>
          <w:sz w:val="21"/>
          <w:szCs w:val="21"/>
        </w:rPr>
        <w:t>CUP: C53C22000880006</w:t>
      </w:r>
    </w:p>
    <w:p w:rsidR="00B10B08" w:rsidRPr="00330A3D" w:rsidRDefault="00B10B08" w:rsidP="00330A3D">
      <w:pPr>
        <w:spacing w:after="0" w:line="240" w:lineRule="auto"/>
        <w:jc w:val="both"/>
        <w:rPr>
          <w:rFonts w:ascii="Titillium" w:eastAsia="Titilium" w:hAnsi="Titillium" w:cs="Titilium"/>
          <w:smallCaps/>
          <w:sz w:val="21"/>
          <w:szCs w:val="21"/>
        </w:rPr>
      </w:pPr>
      <w:bookmarkStart w:id="0" w:name="_GoBack"/>
      <w:bookmarkEnd w:id="0"/>
    </w:p>
    <w:tbl>
      <w:tblPr>
        <w:tblStyle w:val="ab"/>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835"/>
        <w:gridCol w:w="6457"/>
      </w:tblGrid>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Il sottoscritto</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Codice fiscale</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r w:rsidR="00B10B08" w:rsidRPr="00330A3D">
        <w:trPr>
          <w:jc w:val="center"/>
        </w:trPr>
        <w:tc>
          <w:tcPr>
            <w:tcW w:w="9854" w:type="dxa"/>
            <w:gridSpan w:val="3"/>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Nella sua qualità di:</w:t>
            </w:r>
          </w:p>
        </w:tc>
      </w:tr>
      <w:tr w:rsidR="00B10B08" w:rsidRPr="00330A3D">
        <w:trPr>
          <w:jc w:val="center"/>
        </w:trPr>
        <w:tc>
          <w:tcPr>
            <w:tcW w:w="562" w:type="dxa"/>
          </w:tcPr>
          <w:p w:rsidR="00B10B08" w:rsidRPr="00330A3D" w:rsidRDefault="000D7D38" w:rsidP="00330A3D">
            <w:pPr>
              <w:tabs>
                <w:tab w:val="left" w:pos="-1800"/>
                <w:tab w:val="left" w:pos="1080"/>
                <w:tab w:val="left" w:pos="1800"/>
                <w:tab w:val="left" w:pos="6300"/>
              </w:tabs>
              <w:jc w:val="center"/>
              <w:rPr>
                <w:rFonts w:ascii="Titillium" w:eastAsia="Titilium" w:hAnsi="Titillium" w:cs="Titilium"/>
                <w:sz w:val="21"/>
                <w:szCs w:val="21"/>
              </w:rPr>
            </w:pPr>
            <w:r w:rsidRPr="00330A3D">
              <w:rPr>
                <w:rFonts w:ascii="Courier New" w:hAnsi="Courier New" w:cs="Courier New"/>
                <w:sz w:val="21"/>
                <w:szCs w:val="21"/>
              </w:rPr>
              <w:t>□</w:t>
            </w:r>
          </w:p>
        </w:tc>
        <w:tc>
          <w:tcPr>
            <w:tcW w:w="9292" w:type="dxa"/>
            <w:gridSpan w:val="2"/>
            <w:vAlign w:val="center"/>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Titolare o Legale rappresentante</w:t>
            </w:r>
          </w:p>
        </w:tc>
      </w:tr>
      <w:tr w:rsidR="00B10B08" w:rsidRPr="00330A3D">
        <w:trPr>
          <w:jc w:val="center"/>
        </w:trPr>
        <w:tc>
          <w:tcPr>
            <w:tcW w:w="562" w:type="dxa"/>
          </w:tcPr>
          <w:p w:rsidR="00B10B08" w:rsidRPr="00330A3D" w:rsidRDefault="000D7D38" w:rsidP="00330A3D">
            <w:pPr>
              <w:tabs>
                <w:tab w:val="left" w:pos="-1800"/>
                <w:tab w:val="left" w:pos="1080"/>
                <w:tab w:val="left" w:pos="1800"/>
                <w:tab w:val="left" w:pos="6300"/>
              </w:tabs>
              <w:jc w:val="center"/>
              <w:rPr>
                <w:rFonts w:ascii="Titillium" w:eastAsia="Titilium" w:hAnsi="Titillium" w:cs="Titilium"/>
                <w:sz w:val="21"/>
                <w:szCs w:val="21"/>
              </w:rPr>
            </w:pPr>
            <w:r w:rsidRPr="00330A3D">
              <w:rPr>
                <w:rFonts w:ascii="Courier New" w:hAnsi="Courier New" w:cs="Courier New"/>
                <w:sz w:val="21"/>
                <w:szCs w:val="21"/>
              </w:rPr>
              <w:t>□</w:t>
            </w:r>
          </w:p>
        </w:tc>
        <w:tc>
          <w:tcPr>
            <w:tcW w:w="9292" w:type="dxa"/>
            <w:gridSpan w:val="2"/>
            <w:vAlign w:val="center"/>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Procuratore</w:t>
            </w:r>
          </w:p>
        </w:tc>
      </w:tr>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Del concorrente</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bl>
    <w:p w:rsidR="00B10B08" w:rsidRPr="00330A3D" w:rsidRDefault="00B10B08" w:rsidP="00330A3D">
      <w:pPr>
        <w:spacing w:after="0" w:line="240" w:lineRule="auto"/>
        <w:jc w:val="both"/>
        <w:rPr>
          <w:rFonts w:ascii="Titillium" w:eastAsia="Titilium" w:hAnsi="Titillium" w:cs="Titilium"/>
          <w:smallCaps/>
          <w:sz w:val="21"/>
          <w:szCs w:val="21"/>
        </w:rPr>
      </w:pPr>
    </w:p>
    <w:p w:rsidR="00B10B08" w:rsidRPr="00330A3D" w:rsidRDefault="000D7D38" w:rsidP="00330A3D">
      <w:pPr>
        <w:widowControl w:val="0"/>
        <w:spacing w:after="0" w:line="240" w:lineRule="auto"/>
        <w:jc w:val="both"/>
        <w:rPr>
          <w:rFonts w:ascii="Titillium" w:eastAsia="Titilium" w:hAnsi="Titillium" w:cs="Titilium"/>
          <w:sz w:val="21"/>
          <w:szCs w:val="21"/>
        </w:rPr>
      </w:pPr>
      <w:r w:rsidRPr="00330A3D">
        <w:rPr>
          <w:rFonts w:ascii="Titillium" w:eastAsia="Titilium" w:hAnsi="Titillium" w:cs="Titilium"/>
          <w:sz w:val="21"/>
          <w:szCs w:val="21"/>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rsidR="00B10B08" w:rsidRPr="00330A3D" w:rsidRDefault="00B10B08" w:rsidP="00330A3D">
      <w:pPr>
        <w:widowControl w:val="0"/>
        <w:spacing w:after="0" w:line="240" w:lineRule="auto"/>
        <w:jc w:val="center"/>
        <w:rPr>
          <w:rFonts w:ascii="Titillium" w:eastAsia="Titilium" w:hAnsi="Titillium" w:cs="Titilium"/>
          <w:sz w:val="21"/>
          <w:szCs w:val="21"/>
        </w:rPr>
      </w:pPr>
    </w:p>
    <w:p w:rsidR="00B10B08" w:rsidRPr="00330A3D" w:rsidRDefault="000D7D38" w:rsidP="00330A3D">
      <w:pPr>
        <w:widowControl w:val="0"/>
        <w:spacing w:after="0" w:line="240" w:lineRule="auto"/>
        <w:jc w:val="center"/>
        <w:rPr>
          <w:rFonts w:ascii="Titillium" w:eastAsia="Titilium" w:hAnsi="Titillium" w:cs="Titilium"/>
          <w:sz w:val="21"/>
          <w:szCs w:val="21"/>
        </w:rPr>
      </w:pPr>
      <w:r w:rsidRPr="00330A3D">
        <w:rPr>
          <w:rFonts w:ascii="Titillium" w:eastAsia="Titilium" w:hAnsi="Titillium" w:cs="Titilium"/>
          <w:sz w:val="21"/>
          <w:szCs w:val="21"/>
        </w:rPr>
        <w:t>DICHIARA</w:t>
      </w:r>
    </w:p>
    <w:p w:rsidR="00B10B08" w:rsidRPr="00330A3D" w:rsidRDefault="00B10B08" w:rsidP="00330A3D">
      <w:pPr>
        <w:spacing w:after="0" w:line="240" w:lineRule="auto"/>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I dati identificativi (nome, cognome, data e luogo di nascita, codice fiscale, comune di residenza) </w:t>
      </w:r>
      <w:r w:rsidRPr="00330A3D">
        <w:rPr>
          <w:rFonts w:ascii="Titillium" w:eastAsia="Titilium" w:hAnsi="Titillium" w:cs="Titilium"/>
          <w:sz w:val="21"/>
          <w:szCs w:val="21"/>
          <w:highlight w:val="white"/>
        </w:rPr>
        <w:t>dei soggetti di cui all’art. 94, comma 3, del Decreto Legislativo 31 marzo 2023, numero 36</w:t>
      </w:r>
      <w:r w:rsidRPr="00330A3D">
        <w:rPr>
          <w:rFonts w:ascii="Titillium" w:eastAsia="Titilium" w:hAnsi="Titillium" w:cs="Titilium"/>
          <w:sz w:val="21"/>
          <w:szCs w:val="21"/>
        </w:rPr>
        <w:t xml:space="preserve">,, se non già individuati nella parte II </w:t>
      </w:r>
      <w:proofErr w:type="spellStart"/>
      <w:r w:rsidRPr="00330A3D">
        <w:rPr>
          <w:rFonts w:ascii="Titillium" w:eastAsia="Titilium" w:hAnsi="Titillium" w:cs="Titilium"/>
          <w:sz w:val="21"/>
          <w:szCs w:val="21"/>
        </w:rPr>
        <w:t>lett</w:t>
      </w:r>
      <w:proofErr w:type="spellEnd"/>
      <w:r w:rsidRPr="00330A3D">
        <w:rPr>
          <w:rFonts w:ascii="Titillium" w:eastAsia="Titilium" w:hAnsi="Titillium" w:cs="Titilium"/>
          <w:sz w:val="21"/>
          <w:szCs w:val="21"/>
        </w:rPr>
        <w:t>. B del DGUE, ovvero indica la banca dati ufficiale o il pubblico registro da cui i medesimi possono essere ricavati in modo aggiornato alla data di presentazione dell’offerta (devono essere indicati i dati identificativi dei  seguenti soggetti, anche cessati dalla carica nell’anno antecedente la data di pubblicazione del bando di gara: titolare o  direttore tecnico, se si tratta di impresa individuale; socio o del direttore tecnico, se si tratta di società in nome collettivo; soci accomandatari o  direttore tecnico, se si tratta di società in accomandita semplice; membri del consiglio di amministrazione cui sia stata conferita la legale rappresentanza, ivi compresi institori e procuratori generali, i membri degli organi con poteri di direzione o di vigilanza o i soggetti muniti di poteri di rappresentanza, di direzione o di controllo, il direttore tecnico o  socio unico persona fisica, ovvero  socio di maggioranza in caso di società con meno di quattro soci, se si tratta di altro tipo di società o consorzio)</w:t>
      </w:r>
    </w:p>
    <w:p w:rsidR="00B10B08" w:rsidRPr="00330A3D" w:rsidRDefault="00B10B08" w:rsidP="00330A3D">
      <w:pPr>
        <w:spacing w:after="0" w:line="240" w:lineRule="auto"/>
        <w:ind w:left="454"/>
        <w:jc w:val="both"/>
        <w:rPr>
          <w:rFonts w:ascii="Titillium" w:eastAsia="Titilium" w:hAnsi="Titillium" w:cs="Titilium"/>
          <w:sz w:val="21"/>
          <w:szCs w:val="21"/>
        </w:rPr>
      </w:pPr>
    </w:p>
    <w:tbl>
      <w:tblPr>
        <w:tblStyle w:val="ac"/>
        <w:tblW w:w="9399"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8"/>
        <w:gridCol w:w="1091"/>
        <w:gridCol w:w="1665"/>
        <w:gridCol w:w="1478"/>
        <w:gridCol w:w="1898"/>
        <w:gridCol w:w="1629"/>
      </w:tblGrid>
      <w:tr w:rsidR="00B10B08" w:rsidRPr="00330A3D">
        <w:tc>
          <w:tcPr>
            <w:tcW w:w="163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Cognome e Nome</w:t>
            </w:r>
          </w:p>
        </w:tc>
        <w:tc>
          <w:tcPr>
            <w:tcW w:w="1091"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Data di nascita</w:t>
            </w:r>
          </w:p>
        </w:tc>
        <w:tc>
          <w:tcPr>
            <w:tcW w:w="1665"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Luogo / Stato estero di nascita</w:t>
            </w:r>
          </w:p>
        </w:tc>
        <w:tc>
          <w:tcPr>
            <w:tcW w:w="147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Codice Fiscale</w:t>
            </w:r>
          </w:p>
        </w:tc>
        <w:tc>
          <w:tcPr>
            <w:tcW w:w="189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 xml:space="preserve">Qualifica (titolare, legale rappresentante, </w:t>
            </w:r>
            <w:r w:rsidRPr="00330A3D">
              <w:rPr>
                <w:rFonts w:ascii="Titillium" w:eastAsia="Titilium" w:hAnsi="Titillium" w:cs="Titilium"/>
                <w:sz w:val="21"/>
                <w:szCs w:val="21"/>
              </w:rPr>
              <w:lastRenderedPageBreak/>
              <w:t>procuratore, socio, …)</w:t>
            </w:r>
          </w:p>
        </w:tc>
        <w:tc>
          <w:tcPr>
            <w:tcW w:w="1629"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lastRenderedPageBreak/>
              <w:t>Data in cui è cessato dalla carica</w:t>
            </w: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bl>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Di non incorrere nelle cause di esclusione previste dal </w:t>
      </w:r>
      <w:r w:rsidRPr="00330A3D">
        <w:rPr>
          <w:rFonts w:ascii="Titillium" w:eastAsia="Titilium" w:hAnsi="Titillium" w:cs="Titilium"/>
          <w:b/>
          <w:sz w:val="21"/>
          <w:szCs w:val="21"/>
          <w:highlight w:val="white"/>
        </w:rPr>
        <w:t>Decreto legislativo 31 marzo 2023, n. 36 “</w:t>
      </w:r>
      <w:r w:rsidRPr="00330A3D">
        <w:rPr>
          <w:rFonts w:ascii="Titillium" w:eastAsia="Titilium" w:hAnsi="Titillium" w:cs="Titilium"/>
          <w:sz w:val="21"/>
          <w:szCs w:val="21"/>
          <w:highlight w:val="white"/>
        </w:rPr>
        <w:t>Codice dei contratti pubblici”</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spacing w:after="0" w:line="240" w:lineRule="auto"/>
        <w:ind w:left="454"/>
        <w:jc w:val="both"/>
        <w:rPr>
          <w:rFonts w:ascii="Titillium" w:eastAsia="Titilium" w:hAnsi="Titillium" w:cs="Titilium"/>
          <w:sz w:val="21"/>
          <w:szCs w:val="21"/>
        </w:rPr>
      </w:pPr>
      <w:r w:rsidRPr="00330A3D">
        <w:rPr>
          <w:rFonts w:ascii="Titillium" w:eastAsia="Titilium" w:hAnsi="Titillium" w:cs="Titilium"/>
          <w:sz w:val="21"/>
          <w:szCs w:val="21"/>
        </w:rPr>
        <w:t>(_) ovvero che il concorrente si è reso colpevole delle fattispecie che di seguito si elencano …;</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Per conto proprio e in nome e per conto dei soggetti individuati al precedente punto A, conformemente alle disposizioni del Codice dei contratti pubblici, ai sensi della vigente normativa antimafia, l’insussistenza delle cause di decadenza, di sospensione o di divieto previste dall’art. 67 del D. </w:t>
      </w:r>
      <w:proofErr w:type="spellStart"/>
      <w:r w:rsidRPr="00330A3D">
        <w:rPr>
          <w:rFonts w:ascii="Titillium" w:eastAsia="Titilium" w:hAnsi="Titillium" w:cs="Titilium"/>
          <w:sz w:val="21"/>
          <w:szCs w:val="21"/>
        </w:rPr>
        <w:t>Lgs</w:t>
      </w:r>
      <w:proofErr w:type="spellEnd"/>
      <w:r w:rsidRPr="00330A3D">
        <w:rPr>
          <w:rFonts w:ascii="Titillium" w:eastAsia="Titilium" w:hAnsi="Titillium" w:cs="Titilium"/>
          <w:sz w:val="21"/>
          <w:szCs w:val="21"/>
        </w:rPr>
        <w:t xml:space="preserve">. n. 159/2011 e </w:t>
      </w:r>
      <w:proofErr w:type="spellStart"/>
      <w:r w:rsidRPr="00330A3D">
        <w:rPr>
          <w:rFonts w:ascii="Titillium" w:eastAsia="Titilium" w:hAnsi="Titillium" w:cs="Titilium"/>
          <w:sz w:val="21"/>
          <w:szCs w:val="21"/>
        </w:rPr>
        <w:t>s.m.i.</w:t>
      </w:r>
      <w:proofErr w:type="spellEnd"/>
      <w:r w:rsidRPr="00330A3D">
        <w:rPr>
          <w:rFonts w:ascii="Titillium" w:eastAsia="Titilium" w:hAnsi="Titillium" w:cs="Titilium"/>
          <w:sz w:val="21"/>
          <w:szCs w:val="21"/>
        </w:rPr>
        <w:t xml:space="preserve"> o di un tentativo di infiltrazione mafiosa di cui all'art. 84, comma 4, del medesimo decreto;</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non partecipare alla medesima gara in altra forma singola o associata, né come ausiliaria per altro concorrente;</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Che la partecipazione alla presente procedura non determina alcuna situazione di conflitto di interesse, anche potenziale, ai sensi della vigente normativa in materia, tale da ledere l’imparzialità e l’immagine nell’agire della Stazione appaltante e si impegna a comunicare la sussistenza di potenziali conflitti di interesse rispetto ai soggetti che intervengono e interverranno nella procedura di gara - mediante consultazione del profilo del committente - e a fornire gli elementi utili a consentire la valutazione della stazione appaltante;</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accettare, senza condizione o riserva alcuna, tutte le norme e disposizioni contenute nella documentazione di gara[, inclusi i criteri ambientali minimi di cui al DM]</w:t>
      </w:r>
      <w:r w:rsidRPr="00330A3D">
        <w:rPr>
          <w:rFonts w:ascii="Titillium" w:eastAsia="Titilium" w:hAnsi="Titillium" w:cs="Titilium"/>
          <w:sz w:val="21"/>
          <w:szCs w:val="21"/>
          <w:vertAlign w:val="superscript"/>
        </w:rPr>
        <w:footnoteReference w:id="1"/>
      </w:r>
      <w:r w:rsidRPr="00330A3D">
        <w:rPr>
          <w:rFonts w:ascii="Titillium" w:eastAsia="Titilium" w:hAnsi="Titillium" w:cs="Titilium"/>
          <w:sz w:val="21"/>
          <w:szCs w:val="21"/>
        </w:rPr>
        <w:t>;</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accettare espressamente che la Stazione Appaltante si riserva la facoltà di differire la stipula del contratto, entro i termini previsti dalla vigente normativa, a partire dalla data di aggiudicazione. La Stazione Appaltante si riserva di revocare la procedura ai sensi della legge 241/1990, art. 21-quinquies, per ragioni di pubblico interesse ovvero nel caso in cui il finanziamento da parte del soggetto pubblico erogatore non risulti completamente trasferito alla Stazione Appaltante;</w:t>
      </w:r>
    </w:p>
    <w:p w:rsidR="00B10B08" w:rsidRPr="00330A3D" w:rsidRDefault="00B10B08" w:rsidP="00330A3D">
      <w:pPr>
        <w:spacing w:after="0" w:line="240" w:lineRule="auto"/>
        <w:jc w:val="both"/>
        <w:rPr>
          <w:rFonts w:ascii="Titillium" w:eastAsia="Titilium" w:hAnsi="Titillium" w:cs="Titilium"/>
          <w:color w:val="FF0000"/>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lastRenderedPageBreak/>
        <w:t xml:space="preserve">Di impegnarsi a ottemperare al rispetto dei principi per la sostenibilità ambientale e per la fattibilità dell’intervento riguardo al principio orizzontale del “Do </w:t>
      </w:r>
      <w:proofErr w:type="spellStart"/>
      <w:r w:rsidRPr="00330A3D">
        <w:rPr>
          <w:rFonts w:ascii="Titillium" w:eastAsia="Titilium" w:hAnsi="Titillium" w:cs="Titilium"/>
          <w:sz w:val="21"/>
          <w:szCs w:val="21"/>
        </w:rPr>
        <w:t>Not</w:t>
      </w:r>
      <w:proofErr w:type="spellEnd"/>
      <w:r w:rsidRPr="00330A3D">
        <w:rPr>
          <w:rFonts w:ascii="Titillium" w:eastAsia="Titilium" w:hAnsi="Titillium" w:cs="Titilium"/>
          <w:sz w:val="21"/>
          <w:szCs w:val="21"/>
        </w:rPr>
        <w:t xml:space="preserve"> </w:t>
      </w:r>
      <w:proofErr w:type="spellStart"/>
      <w:r w:rsidRPr="00330A3D">
        <w:rPr>
          <w:rFonts w:ascii="Titillium" w:eastAsia="Titilium" w:hAnsi="Titillium" w:cs="Titilium"/>
          <w:sz w:val="21"/>
          <w:szCs w:val="21"/>
        </w:rPr>
        <w:t>Significant</w:t>
      </w:r>
      <w:proofErr w:type="spellEnd"/>
      <w:r w:rsidRPr="00330A3D">
        <w:rPr>
          <w:rFonts w:ascii="Titillium" w:eastAsia="Titilium" w:hAnsi="Titillium" w:cs="Titilium"/>
          <w:sz w:val="21"/>
          <w:szCs w:val="21"/>
        </w:rPr>
        <w:t xml:space="preserve"> </w:t>
      </w:r>
      <w:proofErr w:type="spellStart"/>
      <w:r w:rsidRPr="00330A3D">
        <w:rPr>
          <w:rFonts w:ascii="Titillium" w:eastAsia="Titilium" w:hAnsi="Titillium" w:cs="Titilium"/>
          <w:sz w:val="21"/>
          <w:szCs w:val="21"/>
        </w:rPr>
        <w:t>Harm</w:t>
      </w:r>
      <w:proofErr w:type="spellEnd"/>
      <w:r w:rsidRPr="00330A3D">
        <w:rPr>
          <w:rFonts w:ascii="Titillium" w:eastAsia="Titilium" w:hAnsi="Titillium" w:cs="Titilium"/>
          <w:sz w:val="21"/>
          <w:szCs w:val="21"/>
        </w:rPr>
        <w:t>” (DNSH), ai sensi dell'articolo 17 del Regolamento (UE) 2020/852 e successivo art. 18 del Regolamento UE 241/2021 e della Circolare del MEF n. 33 del 13.10.2022 “Aggiornamento Guida operativa per il rispetto del principio di non arrecare danno significativo all'ambiente (cd. DNSH)”;</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Che il concorrente occupa un numero pari a … dipendenti, e che:</w:t>
      </w:r>
    </w:p>
    <w:tbl>
      <w:tblPr>
        <w:tblStyle w:val="ad"/>
        <w:tblW w:w="943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8866"/>
      </w:tblGrid>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più di 50 dipendenti, è soggetta all’obbligo di redazione del rapporto sulla situazione del personale, ai sensi dell’articolo 46, comma 2, decreto legislativo n. 198/2006. Pertanto: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Allega all’offerta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 In aggiunta, nel caso in cui non abbia provveduto alla trasmissione del rapporto nei termini indicati dall'articolo 46 del decreto legislativo n. 198/2006: Allega all’offerta l’attestazione dell’avvenuta trasmissione alle rappresentanze sindacali aziendali e alla consigliera e al consigliere regionale di parità, in data anteriore a quella di presentazione dell’offerta.</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Si impegna, in caso di aggiudicazione, 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dovrà essere trasmessa entro il medesimo termine anche alle rappresentanze sindacali aziendali.</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un numero di dipendenti pari o superiore a 15 e non superiore a 50:</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Dichiara che nei 12 mesi precedenti al termine di presentazione dell’offerta non è incorsa nella violazione dell’obbligo di produrre alla stazione appaltante di un precedente contratto di appalto finanziato in tutto o in parte con fondi P.N.R.R. o P.N.C. la relazione di genere sulla situazione del personale maschile e femminile cui all’art. 47, comma 3, del D.L. n. 77/2021 convertito in L. n. 108/2021. Pertanto: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Si impegna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Stazione appaltante, nonché alle rappresentanze sindacali aziendali, alla consigliera e al consigliere regionale di parità, entro 6 mesi dalla stipula del contratto.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Si impegna, in caso di aggiudicazione, 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dovrà essere trasmessa entro il medesimo termine anche alle rappresentanze sindacali aziendali.</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un numero di dipendenti inferiore a 15 di non essere tenuta al rispetto di quanto prescritto dall’art. 47, commi 2, 3 e 3bis, del D.L. n. 77/2021 convertito in L. n. 108/2021.</w:t>
            </w:r>
          </w:p>
        </w:tc>
      </w:tr>
    </w:tbl>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essere edotto degli obblighi derivanti dal Codice di comportamento adottato dall’Amministrazione reperibile sul sito internet www.inaf.it, sezione Amministrazione trasparente, sottosezione Disposizioni generali, e di impegnarsi, in caso di aggiudicazione, ad osservare e a far osservare ai propri dipendenti e collaboratori, per quanto applicabile, il suddetto codice, pena la risoluzione del contratto;</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highlight w:val="white"/>
        </w:rPr>
      </w:pPr>
      <w:r w:rsidRPr="00330A3D">
        <w:rPr>
          <w:rFonts w:ascii="Titillium" w:eastAsia="Titilium" w:hAnsi="Titillium" w:cs="Titilium"/>
          <w:sz w:val="21"/>
          <w:szCs w:val="21"/>
          <w:highlight w:val="white"/>
        </w:rPr>
        <w:t xml:space="preserve">Di aver preso visione del Regolamento per la gestione, tutela e valorizzazione della </w:t>
      </w:r>
      <w:proofErr w:type="spellStart"/>
      <w:r w:rsidRPr="00330A3D">
        <w:rPr>
          <w:rFonts w:ascii="Titillium" w:eastAsia="Titilium" w:hAnsi="Titillium" w:cs="Titilium"/>
          <w:sz w:val="21"/>
          <w:szCs w:val="21"/>
          <w:highlight w:val="white"/>
        </w:rPr>
        <w:t>proprieta'</w:t>
      </w:r>
      <w:proofErr w:type="spellEnd"/>
      <w:r w:rsidRPr="00330A3D">
        <w:rPr>
          <w:rFonts w:ascii="Titillium" w:eastAsia="Titilium" w:hAnsi="Titillium" w:cs="Titilium"/>
          <w:sz w:val="21"/>
          <w:szCs w:val="21"/>
          <w:highlight w:val="white"/>
        </w:rPr>
        <w:t xml:space="preserve"> intellettuale e della incentivazione dell'innovazione di INAF</w:t>
      </w:r>
      <w:r w:rsidRPr="00330A3D">
        <w:rPr>
          <w:rFonts w:ascii="Titillium" w:eastAsia="Titilium" w:hAnsi="Titillium" w:cs="Titilium"/>
          <w:sz w:val="21"/>
          <w:szCs w:val="21"/>
          <w:highlight w:val="white"/>
          <w:vertAlign w:val="superscript"/>
        </w:rPr>
        <w:footnoteReference w:id="2"/>
      </w:r>
      <w:r w:rsidRPr="00330A3D">
        <w:rPr>
          <w:rFonts w:ascii="Titillium" w:eastAsia="Titilium" w:hAnsi="Titillium" w:cs="Titilium"/>
          <w:sz w:val="21"/>
          <w:szCs w:val="21"/>
          <w:highlight w:val="white"/>
        </w:rPr>
        <w:t xml:space="preserve">, e che si impegna a garantire tutte le tutele in materia di </w:t>
      </w:r>
      <w:proofErr w:type="spellStart"/>
      <w:r w:rsidRPr="00330A3D">
        <w:rPr>
          <w:rFonts w:ascii="Titillium" w:eastAsia="Titilium" w:hAnsi="Titillium" w:cs="Titilium"/>
          <w:sz w:val="21"/>
          <w:szCs w:val="21"/>
          <w:highlight w:val="white"/>
        </w:rPr>
        <w:t>proprieta'</w:t>
      </w:r>
      <w:proofErr w:type="spellEnd"/>
      <w:r w:rsidRPr="00330A3D">
        <w:rPr>
          <w:rFonts w:ascii="Titillium" w:eastAsia="Titilium" w:hAnsi="Titillium" w:cs="Titilium"/>
          <w:sz w:val="21"/>
          <w:szCs w:val="21"/>
          <w:highlight w:val="white"/>
        </w:rPr>
        <w:t xml:space="preserve"> intellettuale, intesa come il complesso dei diritti di </w:t>
      </w:r>
      <w:proofErr w:type="spellStart"/>
      <w:r w:rsidRPr="00330A3D">
        <w:rPr>
          <w:rFonts w:ascii="Titillium" w:eastAsia="Titilium" w:hAnsi="Titillium" w:cs="Titilium"/>
          <w:sz w:val="21"/>
          <w:szCs w:val="21"/>
          <w:highlight w:val="white"/>
        </w:rPr>
        <w:t>proprieta'</w:t>
      </w:r>
      <w:proofErr w:type="spellEnd"/>
      <w:r w:rsidRPr="00330A3D">
        <w:rPr>
          <w:rFonts w:ascii="Titillium" w:eastAsia="Titilium" w:hAnsi="Titillium" w:cs="Titilium"/>
          <w:sz w:val="21"/>
          <w:szCs w:val="21"/>
          <w:highlight w:val="white"/>
        </w:rPr>
        <w:t xml:space="preserve"> sui risultati, trovati e prodotti derivanti dall'«</w:t>
      </w:r>
      <w:proofErr w:type="spellStart"/>
      <w:r w:rsidRPr="00330A3D">
        <w:rPr>
          <w:rFonts w:ascii="Titillium" w:eastAsia="Titilium" w:hAnsi="Titillium" w:cs="Titilium"/>
          <w:sz w:val="21"/>
          <w:szCs w:val="21"/>
          <w:highlight w:val="white"/>
        </w:rPr>
        <w:t>attivita'</w:t>
      </w:r>
      <w:proofErr w:type="spellEnd"/>
      <w:r w:rsidRPr="00330A3D">
        <w:rPr>
          <w:rFonts w:ascii="Titillium" w:eastAsia="Titilium" w:hAnsi="Titillium" w:cs="Titilium"/>
          <w:sz w:val="21"/>
          <w:szCs w:val="21"/>
          <w:highlight w:val="white"/>
        </w:rPr>
        <w:t xml:space="preserve"> di ricerca» e/o da «altre </w:t>
      </w:r>
      <w:proofErr w:type="spellStart"/>
      <w:r w:rsidRPr="00330A3D">
        <w:rPr>
          <w:rFonts w:ascii="Titillium" w:eastAsia="Titilium" w:hAnsi="Titillium" w:cs="Titilium"/>
          <w:sz w:val="21"/>
          <w:szCs w:val="21"/>
          <w:highlight w:val="white"/>
        </w:rPr>
        <w:t>attivita'</w:t>
      </w:r>
      <w:proofErr w:type="spellEnd"/>
      <w:r w:rsidRPr="00330A3D">
        <w:rPr>
          <w:rFonts w:ascii="Titillium" w:eastAsia="Titilium" w:hAnsi="Titillium" w:cs="Titilium"/>
          <w:sz w:val="21"/>
          <w:szCs w:val="21"/>
          <w:highlight w:val="white"/>
        </w:rPr>
        <w:t>», svolte nello svolgimento dell’appalto in oggetto.</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accettare il patto di integrità del INAF, parte della documentazione di gara. La mancata accettazione e/o il mancato rispetto delle clausole contenute nel protocollo di legalità/patto di integrità costituisce causa di esclusione dalla gara o di risoluzione del contratto, ai sensi dell’articolo 83-bis, del decreto legislativo 159/2011;</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Per quanto concerne l’art. 53, comma 16-ter, del D. </w:t>
      </w:r>
      <w:proofErr w:type="spellStart"/>
      <w:r w:rsidRPr="00330A3D">
        <w:rPr>
          <w:rFonts w:ascii="Titillium" w:eastAsia="Titilium" w:hAnsi="Titillium" w:cs="Titilium"/>
          <w:sz w:val="21"/>
          <w:szCs w:val="21"/>
        </w:rPr>
        <w:t>Lgs</w:t>
      </w:r>
      <w:proofErr w:type="spellEnd"/>
      <w:r w:rsidRPr="00330A3D">
        <w:rPr>
          <w:rFonts w:ascii="Titillium" w:eastAsia="Titilium" w:hAnsi="Titillium" w:cs="Titilium"/>
          <w:sz w:val="21"/>
          <w:szCs w:val="21"/>
        </w:rPr>
        <w:t>. 165/2001:</w:t>
      </w:r>
    </w:p>
    <w:tbl>
      <w:tblPr>
        <w:tblStyle w:val="ae"/>
        <w:tblW w:w="943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8866"/>
      </w:tblGrid>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non aver conferito incarichi professionali né concluso alcun contratto di lavoro subordinato o autonomo ad ex-dipendenti che hanno cessato il rapporto di lavoro con il INAF da meno di tre anni i quali, negli ultimi tre anni di servizio, hanno esercitato poteri autoritativi o negoziali per conto dell’ INAF medesimo</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avere conferito incarichi professionali e concluso contratto/i di lavoro subordinato o autonomo ad ex dipendenti dell’ INAF che hanno cessato il rapporto di lavoro da meno di tre anni i quali, negli ultimi tre anni di servizio, non hanno esercitato poteri autoritativi o negoziali per conto dell’ INAF medesimo</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avere conferito incarichi professionali e concluso contratto/i di lavoro subordinato o autonomo ad ex dipendenti dell’ INAF, dopo tre anni da quando gli stessi hanno cessato il rapporto di lavoro con il INAF medesimo e quindi nel rispetto delle previsioni di legge</w:t>
            </w:r>
          </w:p>
        </w:tc>
      </w:tr>
    </w:tbl>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Remunerativa l’offerta economica presentata giacché per la sua formulazione ha preso atto e tenuto conto:</w:t>
      </w:r>
    </w:p>
    <w:p w:rsidR="00B10B08" w:rsidRPr="00330A3D" w:rsidRDefault="000D7D38" w:rsidP="00330A3D">
      <w:pPr>
        <w:numPr>
          <w:ilvl w:val="1"/>
          <w:numId w:val="1"/>
        </w:numPr>
        <w:spacing w:after="0" w:line="240" w:lineRule="auto"/>
        <w:ind w:left="794"/>
        <w:jc w:val="both"/>
        <w:rPr>
          <w:rFonts w:ascii="Titillium" w:eastAsia="Titilium" w:hAnsi="Titillium" w:cs="Titilium"/>
          <w:sz w:val="21"/>
          <w:szCs w:val="21"/>
        </w:rPr>
      </w:pPr>
      <w:r w:rsidRPr="00330A3D">
        <w:rPr>
          <w:rFonts w:ascii="Titillium" w:eastAsia="Titilium" w:hAnsi="Titillium" w:cs="Titilium"/>
          <w:sz w:val="21"/>
          <w:szCs w:val="21"/>
        </w:rPr>
        <w:t>Delle condizioni contrattuali e degli oneri compresi quelli eventuali relativi in materia di sicurezza, di assicurazione, di condizioni di lavoro e di previdenza e assistenza in vigore nel luogo dove devono essere svolti i servizi/fornitura;</w:t>
      </w:r>
    </w:p>
    <w:p w:rsidR="00B10B08" w:rsidRPr="00330A3D" w:rsidRDefault="000D7D38" w:rsidP="00330A3D">
      <w:pPr>
        <w:numPr>
          <w:ilvl w:val="1"/>
          <w:numId w:val="1"/>
        </w:numPr>
        <w:spacing w:after="0" w:line="240" w:lineRule="auto"/>
        <w:ind w:left="794"/>
        <w:jc w:val="both"/>
        <w:rPr>
          <w:rFonts w:ascii="Titillium" w:eastAsia="Titilium" w:hAnsi="Titillium" w:cs="Titilium"/>
          <w:sz w:val="21"/>
          <w:szCs w:val="21"/>
        </w:rPr>
      </w:pPr>
      <w:r w:rsidRPr="00330A3D">
        <w:rPr>
          <w:rFonts w:ascii="Titillium" w:eastAsia="Titilium" w:hAnsi="Titillium" w:cs="Titilium"/>
          <w:sz w:val="21"/>
          <w:szCs w:val="21"/>
        </w:rPr>
        <w:t>Di tutte le circostanze generali, particolari e locali, nessuna esclusa ed eccettuata, che possono avere influito o influire sia sull’esecuzione della fornitura/servizio, sia sulla determinazione della propria offerta.</w:t>
      </w:r>
    </w:p>
    <w:p w:rsidR="00B10B08" w:rsidRPr="00330A3D" w:rsidRDefault="00B10B08" w:rsidP="00330A3D">
      <w:pPr>
        <w:spacing w:after="0" w:line="240" w:lineRule="auto"/>
        <w:ind w:left="720"/>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(Per gli operatori economici non residenti e privi di stabile organizzazione in Italia) L’impegno ad uniformarsi, in caso di aggiudicazione, alla disciplina di cui agli articoli 17, comma 2, e 53, comma 3 del D.P.R. 633/1972 e a comunicare all’Amministrazione la nomina del proprio rappresentante fiscale, nelle forme di legge;</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lastRenderedPageBreak/>
        <w:t>(Per gli operatori economici non residenti e privi di stabile organizzazione in Italia) Il domicilio fiscale …, il codice fiscale …, la partita IVA …, l’indirizzo di posta elettronica certificata o strumento analogo negli altri Stati Membri, ai fini delle comunicazioni di cui all’articolo 76, comma 5 del Codice;</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aver preso visione e di accettare il trattamento dei dati personali di cui al Disciplinare di gara.</w:t>
      </w:r>
    </w:p>
    <w:p w:rsidR="00B10B08" w:rsidRPr="00330A3D" w:rsidRDefault="00B10B08" w:rsidP="00330A3D">
      <w:pPr>
        <w:widowControl w:val="0"/>
        <w:spacing w:after="0" w:line="240" w:lineRule="auto"/>
        <w:jc w:val="both"/>
        <w:rPr>
          <w:rFonts w:ascii="Titillium" w:eastAsia="Titilium" w:hAnsi="Titillium" w:cs="Titilium"/>
          <w:sz w:val="21"/>
          <w:szCs w:val="21"/>
        </w:rPr>
      </w:pPr>
    </w:p>
    <w:p w:rsidR="00B10B08" w:rsidRPr="00330A3D" w:rsidRDefault="000D7D38" w:rsidP="00330A3D">
      <w:pPr>
        <w:widowControl w:val="0"/>
        <w:spacing w:after="0" w:line="240" w:lineRule="auto"/>
        <w:jc w:val="right"/>
        <w:rPr>
          <w:rFonts w:ascii="Titillium" w:eastAsia="Titilium" w:hAnsi="Titillium" w:cs="Titilium"/>
          <w:sz w:val="21"/>
          <w:szCs w:val="21"/>
        </w:rPr>
      </w:pPr>
      <w:bookmarkStart w:id="1" w:name="_heading=h.gjdgxs" w:colFirst="0" w:colLast="0"/>
      <w:bookmarkEnd w:id="1"/>
      <w:r w:rsidRPr="00330A3D">
        <w:rPr>
          <w:rFonts w:ascii="Titillium" w:eastAsia="Titilium" w:hAnsi="Titillium" w:cs="Titilium"/>
          <w:sz w:val="21"/>
          <w:szCs w:val="21"/>
        </w:rPr>
        <w:t>Firma digitale</w:t>
      </w:r>
      <w:r w:rsidRPr="00330A3D">
        <w:rPr>
          <w:rFonts w:ascii="Titillium" w:eastAsia="Titilium" w:hAnsi="Titillium" w:cs="Titilium"/>
          <w:sz w:val="21"/>
          <w:szCs w:val="21"/>
          <w:vertAlign w:val="superscript"/>
        </w:rPr>
        <w:footnoteReference w:id="3"/>
      </w:r>
      <w:r w:rsidRPr="00330A3D">
        <w:rPr>
          <w:rFonts w:ascii="Titillium" w:eastAsia="Titilium" w:hAnsi="Titillium" w:cs="Titilium"/>
          <w:sz w:val="21"/>
          <w:szCs w:val="21"/>
        </w:rPr>
        <w:t xml:space="preserve"> del legale rappresentante/procuratore</w:t>
      </w:r>
      <w:r w:rsidRPr="00330A3D">
        <w:rPr>
          <w:rFonts w:ascii="Titillium" w:eastAsia="Titilium" w:hAnsi="Titillium" w:cs="Titilium"/>
          <w:sz w:val="21"/>
          <w:szCs w:val="21"/>
          <w:vertAlign w:val="superscript"/>
        </w:rPr>
        <w:footnoteReference w:id="4"/>
      </w:r>
    </w:p>
    <w:p w:rsidR="00B10B08" w:rsidRPr="00330A3D" w:rsidRDefault="00B10B08" w:rsidP="00330A3D">
      <w:pPr>
        <w:rPr>
          <w:rFonts w:ascii="Titillium" w:eastAsia="Titilium" w:hAnsi="Titillium" w:cs="Titilium"/>
          <w:sz w:val="21"/>
          <w:szCs w:val="21"/>
        </w:rPr>
      </w:pPr>
      <w:bookmarkStart w:id="2" w:name="_heading=h.30j0zll" w:colFirst="0" w:colLast="0"/>
      <w:bookmarkEnd w:id="2"/>
    </w:p>
    <w:sectPr w:rsidR="00B10B08" w:rsidRPr="00330A3D">
      <w:headerReference w:type="default" r:id="rId8"/>
      <w:footerReference w:type="default" r:id="rId9"/>
      <w:pgSz w:w="11906" w:h="16838"/>
      <w:pgMar w:top="2393" w:right="1021" w:bottom="964" w:left="1021" w:header="284" w:footer="47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C0D" w:rsidRDefault="00844C0D">
      <w:pPr>
        <w:spacing w:after="0" w:line="240" w:lineRule="auto"/>
      </w:pPr>
      <w:r>
        <w:separator/>
      </w:r>
    </w:p>
  </w:endnote>
  <w:endnote w:type="continuationSeparator" w:id="0">
    <w:p w:rsidR="00844C0D" w:rsidRDefault="00844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altName w:val="Calibri"/>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08" w:rsidRDefault="000D7D38">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3F3F14">
      <w:rPr>
        <w:noProof/>
        <w:color w:val="000000"/>
      </w:rPr>
      <w:t>5</w:t>
    </w:r>
    <w:r>
      <w:rPr>
        <w:color w:val="000000"/>
      </w:rPr>
      <w:fldChar w:fldCharType="end"/>
    </w:r>
  </w:p>
  <w:p w:rsidR="00B10B08" w:rsidRDefault="00B10B0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C0D" w:rsidRDefault="00844C0D">
      <w:pPr>
        <w:spacing w:after="0" w:line="240" w:lineRule="auto"/>
      </w:pPr>
      <w:r>
        <w:separator/>
      </w:r>
    </w:p>
  </w:footnote>
  <w:footnote w:type="continuationSeparator" w:id="0">
    <w:p w:rsidR="00844C0D" w:rsidRDefault="00844C0D">
      <w:pPr>
        <w:spacing w:after="0" w:line="240" w:lineRule="auto"/>
      </w:pPr>
      <w:r>
        <w:continuationSeparator/>
      </w:r>
    </w:p>
  </w:footnote>
  <w:footnote w:id="1">
    <w:p w:rsidR="00B10B08" w:rsidRDefault="000D7D38">
      <w:pPr>
        <w:pBdr>
          <w:top w:val="nil"/>
          <w:left w:val="nil"/>
          <w:bottom w:val="nil"/>
          <w:right w:val="nil"/>
          <w:between w:val="nil"/>
        </w:pBdr>
        <w:spacing w:after="0" w:line="240" w:lineRule="auto"/>
        <w:rPr>
          <w:rFonts w:ascii="Titilium" w:eastAsia="Titilium" w:hAnsi="Titilium" w:cs="Titilium"/>
          <w:color w:val="000000"/>
          <w:sz w:val="20"/>
          <w:szCs w:val="20"/>
        </w:rPr>
      </w:pPr>
      <w:r>
        <w:rPr>
          <w:vertAlign w:val="superscript"/>
        </w:rPr>
        <w:footnoteRef/>
      </w:r>
      <w:r>
        <w:rPr>
          <w:color w:val="000000"/>
          <w:sz w:val="16"/>
          <w:szCs w:val="16"/>
        </w:rPr>
        <w:t xml:space="preserve"> </w:t>
      </w:r>
      <w:r>
        <w:rPr>
          <w:rFonts w:ascii="Titilium" w:eastAsia="Titilium" w:hAnsi="Titilium" w:cs="Titilium"/>
          <w:color w:val="000000"/>
          <w:sz w:val="20"/>
          <w:szCs w:val="20"/>
        </w:rPr>
        <w:t>Se inseriti nel disciplinare</w:t>
      </w:r>
    </w:p>
  </w:footnote>
  <w:footnote w:id="2">
    <w:p w:rsidR="00B10B08" w:rsidRDefault="000D7D38">
      <w:pPr>
        <w:spacing w:after="0" w:line="240" w:lineRule="auto"/>
        <w:rPr>
          <w:rFonts w:ascii="Titilium" w:eastAsia="Titilium" w:hAnsi="Titilium" w:cs="Titilium"/>
          <w:sz w:val="20"/>
          <w:szCs w:val="20"/>
        </w:rPr>
      </w:pPr>
      <w:r>
        <w:rPr>
          <w:vertAlign w:val="superscript"/>
        </w:rPr>
        <w:footnoteRef/>
      </w:r>
      <w:r>
        <w:rPr>
          <w:sz w:val="20"/>
          <w:szCs w:val="20"/>
        </w:rPr>
        <w:t xml:space="preserve"> </w:t>
      </w:r>
      <w:r>
        <w:rPr>
          <w:rFonts w:ascii="Titilium" w:eastAsia="Titilium" w:hAnsi="Titilium" w:cs="Titilium"/>
          <w:sz w:val="20"/>
          <w:szCs w:val="20"/>
        </w:rPr>
        <w:t>http://www.inaf.it/it/sedi/sede-centrale-nuova/direzione-scientifica/relazioni-industriali/materiali/Regolamento-IP-ATTO_COMPLETO.pdf</w:t>
      </w:r>
    </w:p>
  </w:footnote>
  <w:footnote w:id="3">
    <w:p w:rsidR="00B10B08" w:rsidRDefault="000D7D38">
      <w:pPr>
        <w:pBdr>
          <w:top w:val="nil"/>
          <w:left w:val="nil"/>
          <w:bottom w:val="nil"/>
          <w:right w:val="nil"/>
          <w:between w:val="nil"/>
        </w:pBdr>
        <w:spacing w:after="0" w:line="240" w:lineRule="auto"/>
        <w:jc w:val="both"/>
        <w:rPr>
          <w:rFonts w:ascii="Titilium" w:eastAsia="Titilium" w:hAnsi="Titilium" w:cs="Titilium"/>
          <w:color w:val="000000"/>
          <w:sz w:val="20"/>
          <w:szCs w:val="20"/>
        </w:rPr>
      </w:pPr>
      <w:r>
        <w:rPr>
          <w:vertAlign w:val="superscript"/>
        </w:rPr>
        <w:footnoteRef/>
      </w:r>
      <w:r>
        <w:rPr>
          <w:rFonts w:ascii="Titilium" w:eastAsia="Titilium" w:hAnsi="Titilium" w:cs="Titilium"/>
          <w:color w:val="000000"/>
          <w:sz w:val="20"/>
          <w:szCs w:val="20"/>
        </w:rPr>
        <w:t xml:space="preserve"> Per gli operatori economici italiani o stranieri residenti in Italia, la dichiarazione deve essere sottoscritta da un legale rappresentante ovvero da un procuratore</w:t>
      </w:r>
      <w:r>
        <w:rPr>
          <w:rFonts w:ascii="Titilium" w:eastAsia="Titilium" w:hAnsi="Titilium" w:cs="Titilium"/>
          <w:color w:val="000000"/>
          <w:sz w:val="20"/>
          <w:szCs w:val="20"/>
          <w:vertAlign w:val="superscript"/>
        </w:rPr>
        <w:t>3</w:t>
      </w:r>
      <w:r>
        <w:rPr>
          <w:rFonts w:ascii="Titilium" w:eastAsia="Titilium" w:hAnsi="Titilium" w:cs="Titilium"/>
          <w:color w:val="000000"/>
          <w:sz w:val="20"/>
          <w:szCs w:val="20"/>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4">
    <w:p w:rsidR="00B10B08" w:rsidRDefault="000D7D38">
      <w:pPr>
        <w:pBdr>
          <w:top w:val="nil"/>
          <w:left w:val="nil"/>
          <w:bottom w:val="nil"/>
          <w:right w:val="nil"/>
          <w:between w:val="nil"/>
        </w:pBdr>
        <w:spacing w:after="0" w:line="240" w:lineRule="auto"/>
        <w:jc w:val="both"/>
        <w:rPr>
          <w:rFonts w:ascii="Titilium" w:eastAsia="Titilium" w:hAnsi="Titilium" w:cs="Titilium"/>
          <w:color w:val="000000"/>
          <w:sz w:val="20"/>
          <w:szCs w:val="20"/>
        </w:rPr>
      </w:pPr>
      <w:r>
        <w:rPr>
          <w:vertAlign w:val="superscript"/>
        </w:rPr>
        <w:footnoteRef/>
      </w:r>
      <w:r>
        <w:rPr>
          <w:rFonts w:ascii="Titilium" w:eastAsia="Titilium" w:hAnsi="Titilium" w:cs="Titilium"/>
          <w:color w:val="000000"/>
          <w:sz w:val="20"/>
          <w:szCs w:val="20"/>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08" w:rsidRDefault="000D7D38">
    <w:r>
      <w:rPr>
        <w:rFonts w:ascii="Arial" w:eastAsia="Arial" w:hAnsi="Arial" w:cs="Arial"/>
        <w:noProof/>
        <w:color w:val="000000"/>
      </w:rPr>
      <w:drawing>
        <wp:anchor distT="0" distB="0" distL="114300" distR="114300" simplePos="0" relativeHeight="251658240" behindDoc="1" locked="0" layoutInCell="1" allowOverlap="1">
          <wp:simplePos x="0" y="0"/>
          <wp:positionH relativeFrom="page">
            <wp:align>left</wp:align>
          </wp:positionH>
          <wp:positionV relativeFrom="paragraph">
            <wp:posOffset>-165100</wp:posOffset>
          </wp:positionV>
          <wp:extent cx="7673340" cy="805180"/>
          <wp:effectExtent l="0" t="0" r="3810" b="0"/>
          <wp:wrapTight wrapText="bothSides">
            <wp:wrapPolygon edited="0">
              <wp:start x="0" y="0"/>
              <wp:lineTo x="0" y="20953"/>
              <wp:lineTo x="21557" y="20953"/>
              <wp:lineTo x="21557" y="0"/>
              <wp:lineTo x="0" y="0"/>
            </wp:wrapPolygon>
          </wp:wrapTight>
          <wp:docPr id="2" name="image1.png" descr="https://lh7-eu.googleusercontent.com/R_cbaG6fgy0mdknlcBBBjCd-WJz7o7x2R9735aLLz3nSbvrDpOAircKLxCfJvIHVikUHiyORkegWagZ3qtFdN7gPDqSwvQ9qB8gN8k8O-j7mg5uWoDAV5Oa7eUSjwZ-uUg4r6ijRAlyc"/>
          <wp:cNvGraphicFramePr/>
          <a:graphic xmlns:a="http://schemas.openxmlformats.org/drawingml/2006/main">
            <a:graphicData uri="http://schemas.openxmlformats.org/drawingml/2006/picture">
              <pic:pic xmlns:pic="http://schemas.openxmlformats.org/drawingml/2006/picture">
                <pic:nvPicPr>
                  <pic:cNvPr id="0" name="image1.png" descr="https://lh7-eu.googleusercontent.com/R_cbaG6fgy0mdknlcBBBjCd-WJz7o7x2R9735aLLz3nSbvrDpOAircKLxCfJvIHVikUHiyORkegWagZ3qtFdN7gPDqSwvQ9qB8gN8k8O-j7mg5uWoDAV5Oa7eUSjwZ-uUg4r6ijRAlyc"/>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673340" cy="805180"/>
                  </a:xfrm>
                  <a:prstGeom prst="rect">
                    <a:avLst/>
                  </a:prstGeom>
                  <a:ln/>
                </pic:spPr>
              </pic:pic>
            </a:graphicData>
          </a:graphic>
          <wp14:sizeRelH relativeFrom="margin">
            <wp14:pctWidth>0</wp14:pctWidth>
          </wp14:sizeRelH>
        </wp:anchor>
      </w:drawing>
    </w:r>
  </w:p>
  <w:p w:rsidR="00B10B08" w:rsidRDefault="000D7D38">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93719"/>
    <w:multiLevelType w:val="multilevel"/>
    <w:tmpl w:val="FB988D6A"/>
    <w:lvl w:ilvl="0">
      <w:start w:val="1"/>
      <w:numFmt w:val="upperLetter"/>
      <w:lvlText w:val="%1."/>
      <w:lvlJc w:val="left"/>
      <w:pPr>
        <w:ind w:left="454" w:hanging="454"/>
      </w:pPr>
      <w:rPr>
        <w:b/>
        <w:i w:val="0"/>
        <w:sz w:val="22"/>
        <w:szCs w:val="22"/>
      </w:rPr>
    </w:lvl>
    <w:lvl w:ilvl="1">
      <w:start w:val="1"/>
      <w:numFmt w:val="lowerLetter"/>
      <w:lvlText w:val="%2)"/>
      <w:lvlJc w:val="left"/>
      <w:pPr>
        <w:ind w:left="568" w:firstLine="0"/>
      </w:pPr>
      <w:rPr>
        <w:b w:val="0"/>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211B3B"/>
    <w:multiLevelType w:val="multilevel"/>
    <w:tmpl w:val="AA5278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B08"/>
    <w:rsid w:val="000D7D38"/>
    <w:rsid w:val="001170C8"/>
    <w:rsid w:val="00251D93"/>
    <w:rsid w:val="0031338B"/>
    <w:rsid w:val="00330A3D"/>
    <w:rsid w:val="003A276E"/>
    <w:rsid w:val="003C3246"/>
    <w:rsid w:val="003F3F14"/>
    <w:rsid w:val="00542687"/>
    <w:rsid w:val="00590C89"/>
    <w:rsid w:val="00640DC7"/>
    <w:rsid w:val="00844C0D"/>
    <w:rsid w:val="00933074"/>
    <w:rsid w:val="00984B26"/>
    <w:rsid w:val="00AE0DEF"/>
    <w:rsid w:val="00B10B08"/>
    <w:rsid w:val="00BE7D82"/>
    <w:rsid w:val="00EC0385"/>
    <w:rsid w:val="00F84A9D"/>
    <w:rsid w:val="00FB3599"/>
    <w:rsid w:val="00FD5E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4034CC-EFCA-41C6-8481-7FBADD9D1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idipagina">
    <w:name w:val="footer"/>
    <w:basedOn w:val="Normale"/>
    <w:link w:val="PidipaginaCarattere"/>
    <w:uiPriority w:val="99"/>
    <w:unhideWhenUsed/>
    <w:rsid w:val="00A8437C"/>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A8437C"/>
    <w:rPr>
      <w:lang w:val="it-IT"/>
    </w:rPr>
  </w:style>
  <w:style w:type="paragraph" w:styleId="Testonotaapidipagina">
    <w:name w:val="footnote text"/>
    <w:basedOn w:val="Normale"/>
    <w:link w:val="TestonotaapidipaginaCarattere"/>
    <w:uiPriority w:val="99"/>
    <w:semiHidden/>
    <w:unhideWhenUsed/>
    <w:rsid w:val="00A8437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8437C"/>
    <w:rPr>
      <w:sz w:val="20"/>
      <w:szCs w:val="20"/>
      <w:lang w:val="it-IT"/>
    </w:rPr>
  </w:style>
  <w:style w:type="table" w:styleId="Grigliatabella">
    <w:name w:val="Table Grid"/>
    <w:basedOn w:val="Tabellanormale"/>
    <w:uiPriority w:val="99"/>
    <w:rsid w:val="00A8437C"/>
    <w:pPr>
      <w:spacing w:after="0" w:line="240" w:lineRule="auto"/>
    </w:pPr>
    <w:rPr>
      <w:rFonts w:ascii="Times New Roman" w:eastAsia="Times New Roman" w:hAnsi="Times New Roman" w:cs="Times New Roman"/>
      <w:sz w:val="20"/>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rsid w:val="00A8437C"/>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341CE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41CE8"/>
  </w:style>
  <w:style w:type="table" w:customStyle="1" w:styleId="ab">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198">
      <w:bodyDiv w:val="1"/>
      <w:marLeft w:val="0"/>
      <w:marRight w:val="0"/>
      <w:marTop w:val="0"/>
      <w:marBottom w:val="0"/>
      <w:divBdr>
        <w:top w:val="none" w:sz="0" w:space="0" w:color="auto"/>
        <w:left w:val="none" w:sz="0" w:space="0" w:color="auto"/>
        <w:bottom w:val="none" w:sz="0" w:space="0" w:color="auto"/>
        <w:right w:val="none" w:sz="0" w:space="0" w:color="auto"/>
      </w:divBdr>
    </w:div>
    <w:div w:id="378171345">
      <w:bodyDiv w:val="1"/>
      <w:marLeft w:val="0"/>
      <w:marRight w:val="0"/>
      <w:marTop w:val="0"/>
      <w:marBottom w:val="0"/>
      <w:divBdr>
        <w:top w:val="none" w:sz="0" w:space="0" w:color="auto"/>
        <w:left w:val="none" w:sz="0" w:space="0" w:color="auto"/>
        <w:bottom w:val="none" w:sz="0" w:space="0" w:color="auto"/>
        <w:right w:val="none" w:sz="0" w:space="0" w:color="auto"/>
      </w:divBdr>
    </w:div>
    <w:div w:id="935332785">
      <w:bodyDiv w:val="1"/>
      <w:marLeft w:val="0"/>
      <w:marRight w:val="0"/>
      <w:marTop w:val="0"/>
      <w:marBottom w:val="0"/>
      <w:divBdr>
        <w:top w:val="none" w:sz="0" w:space="0" w:color="auto"/>
        <w:left w:val="none" w:sz="0" w:space="0" w:color="auto"/>
        <w:bottom w:val="none" w:sz="0" w:space="0" w:color="auto"/>
        <w:right w:val="none" w:sz="0" w:space="0" w:color="auto"/>
      </w:divBdr>
    </w:div>
    <w:div w:id="1225794798">
      <w:bodyDiv w:val="1"/>
      <w:marLeft w:val="0"/>
      <w:marRight w:val="0"/>
      <w:marTop w:val="0"/>
      <w:marBottom w:val="0"/>
      <w:divBdr>
        <w:top w:val="none" w:sz="0" w:space="0" w:color="auto"/>
        <w:left w:val="none" w:sz="0" w:space="0" w:color="auto"/>
        <w:bottom w:val="none" w:sz="0" w:space="0" w:color="auto"/>
        <w:right w:val="none" w:sz="0" w:space="0" w:color="auto"/>
      </w:divBdr>
    </w:div>
    <w:div w:id="1523785748">
      <w:bodyDiv w:val="1"/>
      <w:marLeft w:val="0"/>
      <w:marRight w:val="0"/>
      <w:marTop w:val="0"/>
      <w:marBottom w:val="0"/>
      <w:divBdr>
        <w:top w:val="none" w:sz="0" w:space="0" w:color="auto"/>
        <w:left w:val="none" w:sz="0" w:space="0" w:color="auto"/>
        <w:bottom w:val="none" w:sz="0" w:space="0" w:color="auto"/>
        <w:right w:val="none" w:sz="0" w:space="0" w:color="auto"/>
      </w:divBdr>
    </w:div>
    <w:div w:id="1998680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0k8naTS2tBw4jFMwLoX+Gctcog==">CgMxLjAyCGguZ2pkZ3hzMgloLjMwajB6bGw4AHIhMS0wYjZzQVk1RDFzWU5zZXZNUDVwYUhueXlxXzFEQzNk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1816</Words>
  <Characters>10356</Characters>
  <Application>Microsoft Office Word</Application>
  <DocSecurity>0</DocSecurity>
  <Lines>86</Lines>
  <Paragraphs>24</Paragraphs>
  <ScaleCrop>false</ScaleCrop>
  <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Raffaella Riondino</dc:creator>
  <cp:lastModifiedBy>rosy.poerio</cp:lastModifiedBy>
  <cp:revision>11</cp:revision>
  <dcterms:created xsi:type="dcterms:W3CDTF">2023-11-03T12:15:00Z</dcterms:created>
  <dcterms:modified xsi:type="dcterms:W3CDTF">2025-09-15T14:54:00Z</dcterms:modified>
</cp:coreProperties>
</file>