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D81" w:rsidRPr="00BA56CE" w:rsidRDefault="00D11D81" w:rsidP="00144A15">
      <w:pPr>
        <w:pBdr>
          <w:top w:val="nil"/>
          <w:left w:val="nil"/>
          <w:bottom w:val="nil"/>
          <w:right w:val="nil"/>
          <w:between w:val="nil"/>
        </w:pBdr>
        <w:spacing w:before="0" w:after="0"/>
        <w:ind w:leftChars="0" w:left="0" w:firstLineChars="0" w:firstLine="0"/>
        <w:rPr>
          <w:rFonts w:ascii="Titillium" w:hAnsi="Titillium"/>
          <w:color w:val="000000"/>
          <w:sz w:val="21"/>
          <w:szCs w:val="21"/>
        </w:rPr>
      </w:pPr>
    </w:p>
    <w:p w:rsidR="00424F97" w:rsidRPr="00424F97" w:rsidRDefault="00424F97" w:rsidP="00424F97">
      <w:pPr>
        <w:pBdr>
          <w:top w:val="nil"/>
          <w:left w:val="nil"/>
          <w:bottom w:val="nil"/>
          <w:right w:val="nil"/>
          <w:between w:val="nil"/>
        </w:pBdr>
        <w:spacing w:before="0" w:after="0"/>
        <w:ind w:left="0" w:hanging="2"/>
        <w:rPr>
          <w:rFonts w:ascii="Titillium" w:hAnsi="Titillium"/>
          <w:b/>
          <w:position w:val="0"/>
          <w:sz w:val="21"/>
          <w:szCs w:val="21"/>
        </w:rPr>
      </w:pPr>
      <w:r w:rsidRPr="00424F97">
        <w:rPr>
          <w:rFonts w:ascii="Titillium" w:hAnsi="Titillium"/>
          <w:b/>
          <w:position w:val="0"/>
          <w:sz w:val="21"/>
          <w:szCs w:val="21"/>
        </w:rPr>
        <w:t xml:space="preserve">Affidamento diretto </w:t>
      </w:r>
      <w:r w:rsidRPr="00424F97">
        <w:rPr>
          <w:rFonts w:ascii="Titillium" w:hAnsi="Titillium"/>
          <w:b/>
          <w:bCs/>
          <w:position w:val="0"/>
          <w:sz w:val="21"/>
          <w:szCs w:val="21"/>
          <w:lang w:val="it"/>
        </w:rPr>
        <w:t>fornitura di materiale ed installazione della nuova movimentazione e della nuova linea focale del ramo est/ovest dell’antenna “Croce del Nord” presso la stazione Radioastronomica di Medicina (BO)</w:t>
      </w:r>
      <w:r w:rsidRPr="00424F97">
        <w:rPr>
          <w:rFonts w:ascii="Titillium" w:hAnsi="Titillium"/>
          <w:b/>
          <w:bCs/>
          <w:position w:val="0"/>
          <w:sz w:val="21"/>
          <w:szCs w:val="21"/>
        </w:rPr>
        <w:t>,</w:t>
      </w:r>
      <w:r w:rsidRPr="00424F97">
        <w:rPr>
          <w:rFonts w:ascii="Titillium" w:hAnsi="Titillium"/>
          <w:b/>
          <w:position w:val="0"/>
          <w:sz w:val="21"/>
          <w:szCs w:val="21"/>
        </w:rPr>
        <w:t xml:space="preserve"> per le esigenze del Progetto PNRR - IR0000026 NextGeneration Croce “NG-CROCE”, Codice Identificativo: IR0000026, Codice Unico di Progetto:  C53C22000880006, ammesso a finanziamento nell’ambito degli "</w:t>
      </w:r>
      <w:r w:rsidRPr="00424F97">
        <w:rPr>
          <w:rFonts w:ascii="Titillium" w:hAnsi="Titillium"/>
          <w:b/>
          <w:i/>
          <w:position w:val="0"/>
          <w:sz w:val="21"/>
          <w:szCs w:val="21"/>
        </w:rPr>
        <w:t>Interventi</w:t>
      </w:r>
      <w:r w:rsidRPr="00424F97">
        <w:rPr>
          <w:rFonts w:ascii="Titillium" w:hAnsi="Titillium"/>
          <w:b/>
          <w:position w:val="0"/>
          <w:sz w:val="21"/>
          <w:szCs w:val="21"/>
        </w:rPr>
        <w:t>" previsti dalla "</w:t>
      </w:r>
      <w:r w:rsidRPr="00424F97">
        <w:rPr>
          <w:rFonts w:ascii="Titillium" w:hAnsi="Titillium"/>
          <w:b/>
          <w:i/>
          <w:position w:val="0"/>
          <w:sz w:val="21"/>
          <w:szCs w:val="21"/>
        </w:rPr>
        <w:t>Missione 4</w:t>
      </w:r>
      <w:r w:rsidRPr="00424F97">
        <w:rPr>
          <w:rFonts w:ascii="Titillium" w:hAnsi="Titillium"/>
          <w:b/>
          <w:position w:val="0"/>
          <w:sz w:val="21"/>
          <w:szCs w:val="21"/>
        </w:rPr>
        <w:t>", denominata "</w:t>
      </w:r>
      <w:r w:rsidRPr="00424F97">
        <w:rPr>
          <w:rFonts w:ascii="Titillium" w:hAnsi="Titillium"/>
          <w:b/>
          <w:i/>
          <w:position w:val="0"/>
          <w:sz w:val="21"/>
          <w:szCs w:val="21"/>
        </w:rPr>
        <w:t>Istruzione e Ricerca</w:t>
      </w:r>
      <w:r w:rsidRPr="00424F97">
        <w:rPr>
          <w:rFonts w:ascii="Titillium" w:hAnsi="Titillium"/>
          <w:b/>
          <w:position w:val="0"/>
          <w:sz w:val="21"/>
          <w:szCs w:val="21"/>
        </w:rPr>
        <w:t>", "</w:t>
      </w:r>
      <w:r w:rsidRPr="00424F97">
        <w:rPr>
          <w:rFonts w:ascii="Titillium" w:hAnsi="Titillium"/>
          <w:b/>
          <w:i/>
          <w:position w:val="0"/>
          <w:sz w:val="21"/>
          <w:szCs w:val="21"/>
        </w:rPr>
        <w:t>Componente 2</w:t>
      </w:r>
      <w:r w:rsidRPr="00424F97">
        <w:rPr>
          <w:rFonts w:ascii="Titillium" w:hAnsi="Titillium"/>
          <w:b/>
          <w:position w:val="0"/>
          <w:sz w:val="21"/>
          <w:szCs w:val="21"/>
        </w:rPr>
        <w:t>", denominata "</w:t>
      </w:r>
      <w:r w:rsidRPr="00424F97">
        <w:rPr>
          <w:rFonts w:ascii="Titillium" w:hAnsi="Titillium"/>
          <w:b/>
          <w:i/>
          <w:position w:val="0"/>
          <w:sz w:val="21"/>
          <w:szCs w:val="21"/>
        </w:rPr>
        <w:t>Dalla Ricerca alla Impresa</w:t>
      </w:r>
      <w:r w:rsidRPr="00424F97">
        <w:rPr>
          <w:rFonts w:ascii="Titillium" w:hAnsi="Titillium"/>
          <w:b/>
          <w:position w:val="0"/>
          <w:sz w:val="21"/>
          <w:szCs w:val="21"/>
        </w:rPr>
        <w:t>" ("</w:t>
      </w:r>
      <w:r w:rsidRPr="00424F97">
        <w:rPr>
          <w:rFonts w:ascii="Titillium" w:hAnsi="Titillium"/>
          <w:b/>
          <w:i/>
          <w:position w:val="0"/>
          <w:sz w:val="21"/>
          <w:szCs w:val="21"/>
        </w:rPr>
        <w:t>M4C2</w:t>
      </w:r>
      <w:r w:rsidRPr="00424F97">
        <w:rPr>
          <w:rFonts w:ascii="Titillium" w:hAnsi="Titillium"/>
          <w:b/>
          <w:position w:val="0"/>
          <w:sz w:val="21"/>
          <w:szCs w:val="21"/>
        </w:rPr>
        <w:t xml:space="preserve">"), </w:t>
      </w:r>
      <w:r w:rsidRPr="00424F97">
        <w:rPr>
          <w:rFonts w:ascii="Titillium" w:hAnsi="Titillium"/>
          <w:b/>
          <w:i/>
          <w:position w:val="0"/>
          <w:sz w:val="21"/>
          <w:szCs w:val="21"/>
        </w:rPr>
        <w:t>Linea di Investimento 3.1", denominata "Rafforzamento e creazione di Infrastrutture di Ricerca", del "Piano Nazionale di Ripresa e Resilienza”</w:t>
      </w:r>
      <w:r w:rsidRPr="00424F97">
        <w:rPr>
          <w:rFonts w:ascii="Titillium" w:hAnsi="Titillium"/>
          <w:b/>
          <w:position w:val="0"/>
          <w:sz w:val="21"/>
          <w:szCs w:val="21"/>
        </w:rPr>
        <w:t>.</w:t>
      </w:r>
    </w:p>
    <w:p w:rsidR="00424F97" w:rsidRPr="00424F97" w:rsidRDefault="00424F97" w:rsidP="00424F97">
      <w:pPr>
        <w:pBdr>
          <w:top w:val="nil"/>
          <w:left w:val="nil"/>
          <w:bottom w:val="nil"/>
          <w:right w:val="nil"/>
          <w:between w:val="nil"/>
        </w:pBdr>
        <w:spacing w:before="0" w:after="0"/>
        <w:ind w:left="0" w:hanging="2"/>
        <w:rPr>
          <w:rFonts w:ascii="Titillium" w:hAnsi="Titillium"/>
          <w:b/>
          <w:position w:val="0"/>
          <w:sz w:val="21"/>
          <w:szCs w:val="21"/>
        </w:rPr>
      </w:pPr>
      <w:r w:rsidRPr="00424F97">
        <w:rPr>
          <w:rFonts w:ascii="Titillium" w:hAnsi="Titillium"/>
          <w:b/>
          <w:position w:val="0"/>
          <w:sz w:val="21"/>
          <w:szCs w:val="21"/>
        </w:rPr>
        <w:t>CUP: C53C22000880006</w:t>
      </w:r>
    </w:p>
    <w:p w:rsidR="00E1577B" w:rsidRPr="00BA56CE" w:rsidRDefault="00E1577B" w:rsidP="009661AF">
      <w:pPr>
        <w:pBdr>
          <w:top w:val="nil"/>
          <w:left w:val="nil"/>
          <w:bottom w:val="nil"/>
          <w:right w:val="nil"/>
          <w:between w:val="nil"/>
        </w:pBdr>
        <w:spacing w:before="0" w:after="0"/>
        <w:ind w:left="0" w:hanging="2"/>
        <w:rPr>
          <w:rFonts w:ascii="Titillium" w:eastAsia="Titilium" w:hAnsi="Titillium" w:cs="Titilium"/>
          <w:b/>
          <w:color w:val="000000"/>
          <w:sz w:val="21"/>
          <w:szCs w:val="21"/>
        </w:rPr>
      </w:pPr>
      <w:bookmarkStart w:id="0" w:name="_GoBack"/>
      <w:bookmarkEnd w:id="0"/>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DICHIARAZIONI AMMINISTRATIVE</w:t>
      </w: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tabs>
          <w:tab w:val="left" w:pos="3831"/>
        </w:tabs>
        <w:spacing w:before="0" w:after="0"/>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bookmarkStart w:id="1" w:name="bookmark=id.1fob9te" w:colFirst="0" w:colLast="0"/>
      <w:bookmarkEnd w:id="1"/>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 xml:space="preserve"> DOMANDA DI PARTECIPAZIONE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Il/La sottoscritto/a ________________________________, nato/a a ________________________, Prov. _____, il ________________, domiciliato per la carica presso la sede legale sotto indicata, in qualità di __________________________ e legale rappresentante della ______________________, con sede in _______________________, Prov. ____, via _____________________, n. ______, CAP ________, codice fiscale n. ______________________ e partita IVA n. _________________, presso cui elegge domicilio, di seguito denominata “Impresa”,</w:t>
      </w:r>
    </w:p>
    <w:p w:rsidR="00D11D81" w:rsidRPr="00BA56CE" w:rsidRDefault="003059A2">
      <w:pPr>
        <w:numPr>
          <w:ilvl w:val="0"/>
          <w:numId w:val="4"/>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ai sensi e per gli effetti degli articoli 46 e 47 del Decreto del Presidente della Repubblica 28 dicembre 2000, numero 445, consapevole delle conseguenze amministrative e delle responsabilità penali previste in caso di dichiarazioni mendaci e/o formazione od uso di atti falsi, nonché in caso di esibizione di atti contenenti dati non più corrispondenti a verità, previste dagli articoli 75 e 76 del medesimo Decreto;</w:t>
      </w:r>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 xml:space="preserve">DICHIARA </w:t>
      </w:r>
    </w:p>
    <w:p w:rsidR="00D11D81" w:rsidRPr="00BA56CE" w:rsidRDefault="003059A2">
      <w:pPr>
        <w:numPr>
          <w:ilvl w:val="0"/>
          <w:numId w:val="4"/>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relativamente all’affidamento diretto avente ad oggetto </w:t>
      </w:r>
      <w:r w:rsidRPr="00BA56CE">
        <w:rPr>
          <w:rFonts w:ascii="Titillium" w:eastAsia="Titilium" w:hAnsi="Titillium" w:cs="Titilium"/>
          <w:i/>
          <w:color w:val="000000"/>
          <w:sz w:val="21"/>
          <w:szCs w:val="21"/>
        </w:rPr>
        <w:t>___________________________</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E DICHIARA SOTTO LA PROPRIA RESPONSABILITÀ</w:t>
      </w:r>
      <w:r w:rsidRPr="00BA56CE">
        <w:rPr>
          <w:rFonts w:ascii="Titillium" w:eastAsia="Titilium" w:hAnsi="Titillium" w:cs="Titilium"/>
          <w:b/>
          <w:color w:val="000000"/>
          <w:sz w:val="21"/>
          <w:szCs w:val="21"/>
          <w:vertAlign w:val="superscript"/>
        </w:rPr>
        <w:footnoteReference w:id="1"/>
      </w:r>
    </w:p>
    <w:p w:rsidR="00D11D81" w:rsidRPr="00BA56CE" w:rsidRDefault="003059A2">
      <w:pPr>
        <w:numPr>
          <w:ilvl w:val="0"/>
          <w:numId w:val="1"/>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l’Impresa è interessata alla procedura in qualità di:</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singola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stabile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tra imprese artigiane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tra società cooperative di produzione e lavoro</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GEIE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Capogruppo del RTI/consorzio ordinario/Rete d’impresa di concorrenti costituito da </w:t>
      </w:r>
      <w:r w:rsidRPr="00BA56CE">
        <w:rPr>
          <w:rFonts w:ascii="Titillium" w:eastAsia="Titilium" w:hAnsi="Titillium" w:cs="Titilium"/>
          <w:i/>
          <w:color w:val="000000"/>
          <w:sz w:val="21"/>
          <w:szCs w:val="21"/>
        </w:rPr>
        <w:t xml:space="preserve">(compilare i successivi campi capogruppo e mandante, specificando per ognuna di esse ragione sociale, codice fiscale e sede)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 xml:space="preserve">mandante del RTI/consorzio ordinario/componente Rete d’impresa costituito da </w:t>
      </w:r>
      <w:r w:rsidRPr="00BA56CE">
        <w:rPr>
          <w:rFonts w:ascii="Titillium" w:eastAsia="Titilium" w:hAnsi="Titillium" w:cs="Titilium"/>
          <w:i/>
          <w:color w:val="000000"/>
          <w:sz w:val="21"/>
          <w:szCs w:val="21"/>
        </w:rPr>
        <w:t>(compilare i successivi campi capogruppo e mandante, specificando per ognuna di esse ragione sociale, codice fiscale e sede)</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(capogruppo) 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indicare nell’</w:t>
      </w:r>
      <w:r w:rsidRPr="00BA56CE">
        <w:rPr>
          <w:rFonts w:ascii="Titillium" w:eastAsia="Titilium" w:hAnsi="Titillium" w:cs="Titilium"/>
          <w:b/>
          <w:color w:val="000000"/>
          <w:sz w:val="21"/>
          <w:szCs w:val="21"/>
        </w:rPr>
        <w:t xml:space="preserve">Allegato A </w:t>
      </w:r>
      <w:r w:rsidRPr="00BA56CE">
        <w:rPr>
          <w:rFonts w:ascii="Titillium" w:eastAsia="Titilium" w:hAnsi="Titillium" w:cs="Titilium"/>
          <w:color w:val="000000"/>
          <w:sz w:val="21"/>
          <w:szCs w:val="21"/>
        </w:rPr>
        <w:t xml:space="preserve">alla presente dichiarazione i dati identificativi (nome, cognome, data e luogo di nascita, codice fiscale, comune di residenza) </w:t>
      </w:r>
      <w:r w:rsidRPr="00BA56CE">
        <w:rPr>
          <w:rFonts w:ascii="Titillium" w:eastAsia="Titilium" w:hAnsi="Titillium" w:cs="Titilium"/>
          <w:color w:val="000000"/>
          <w:sz w:val="21"/>
          <w:szCs w:val="21"/>
          <w:highlight w:val="white"/>
        </w:rPr>
        <w:t>dei soggetti di cui all’art. 94, comma 3, del Decreto Legislativo 31 marzo 2023, numero 36,</w:t>
      </w:r>
      <w:r w:rsidRPr="00BA56CE">
        <w:rPr>
          <w:rFonts w:ascii="Titillium" w:eastAsia="Titilium" w:hAnsi="Titillium" w:cs="Titilium"/>
          <w:color w:val="000000"/>
          <w:sz w:val="21"/>
          <w:szCs w:val="21"/>
        </w:rPr>
        <w:t xml:space="preserve"> così come individuati dal Comunicato della Autorità Nazionale Anticorruzione (ANAC) dell’8 novembre 2017, ovvero di indicare di seguito la banca dati ufficiale o il pubblico registro da cui i medesimi possono essere ricavati in modo aggiornato alla data di presentazione dell’offerta: _________________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____________________________________________________________________________;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aver assolto agli obblighi di cui alla </w:t>
      </w:r>
      <w:r w:rsidRPr="00BA56CE">
        <w:rPr>
          <w:rFonts w:ascii="Titillium" w:eastAsia="Titilium" w:hAnsi="Titillium" w:cs="Titilium"/>
          <w:b/>
          <w:color w:val="000000"/>
          <w:sz w:val="21"/>
          <w:szCs w:val="21"/>
        </w:rPr>
        <w:t xml:space="preserve">Legge 12 marzo 1999, numero 68 </w:t>
      </w:r>
      <w:r w:rsidRPr="00BA56CE">
        <w:rPr>
          <w:rFonts w:ascii="Titillium" w:eastAsia="Titilium" w:hAnsi="Titillium" w:cs="Titilium"/>
          <w:color w:val="000000"/>
          <w:sz w:val="21"/>
          <w:szCs w:val="21"/>
        </w:rPr>
        <w:t>e di fornire nell’</w:t>
      </w:r>
      <w:r w:rsidRPr="00BA56CE">
        <w:rPr>
          <w:rFonts w:ascii="Titillium" w:eastAsia="Titilium" w:hAnsi="Titillium" w:cs="Titilium"/>
          <w:b/>
          <w:color w:val="000000"/>
          <w:sz w:val="21"/>
          <w:szCs w:val="21"/>
        </w:rPr>
        <w:t>Allegato B</w:t>
      </w:r>
      <w:r w:rsidRPr="00BA56CE">
        <w:rPr>
          <w:rFonts w:ascii="Titillium" w:eastAsia="Titilium" w:hAnsi="Titillium" w:cs="Titilium"/>
          <w:color w:val="000000"/>
          <w:sz w:val="21"/>
          <w:szCs w:val="21"/>
        </w:rPr>
        <w:t xml:space="preserve"> le indicazioni necessarie all’effettuazione degli accertamenti; </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indicare </w:t>
      </w:r>
      <w:r w:rsidRPr="00BA56CE">
        <w:rPr>
          <w:rFonts w:ascii="Titillium" w:eastAsia="Titilium" w:hAnsi="Titillium" w:cs="Titilium"/>
          <w:b/>
          <w:color w:val="000000"/>
          <w:sz w:val="21"/>
          <w:szCs w:val="21"/>
        </w:rPr>
        <w:t>nell’Allegato C,</w:t>
      </w:r>
      <w:r w:rsidRPr="00BA56CE">
        <w:rPr>
          <w:rFonts w:ascii="Titillium" w:eastAsia="Titilium" w:hAnsi="Titillium" w:cs="Titilium"/>
          <w:color w:val="000000"/>
          <w:sz w:val="21"/>
          <w:szCs w:val="21"/>
        </w:rPr>
        <w:t xml:space="preserve"> le informazioni relative al Titolare effettivo:</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questa Impresa è iscritta dal _________ al Registro delle Imprese di _________, al numero ___________, tenuto dalla C.C.I.A.A. di ___________, con sede in ___________ Via___________, n. __, CAP ___________, costituita con atto del ___________, capitale sociale deliberato Euro ___________, capitale sociale sottoscritto Euro ___________, capitale sociale versato Euro ___________, termine di durata della società ___________ ed ha ad oggetto sociale 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di accettare, senza condizione o riserva alcuna, tutte le norme e disposizioni contenute nella Richiesta di offerta, Schema di contratto e nella documentazione di gara trasmessa;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possedere, alla data di ricezione della Richiesta di offerta, in proprio e/o tra i propri componenti soggetto/i dotato/i dei corrispondenti requisiti previsti dalla Richiesta di Offerta;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assumersi l’obbligo, in caso di aggiudicazione del contratto, di assicurare all’occupazione giovanile una quota di 30% e a quella femminile una quota di 30% delle assunzioni necessarie per l'esecuzione del contratto o per la realizzazione di attività ad esso connesse o strumentali</w:t>
      </w:r>
      <w:r w:rsidRPr="00BA56CE">
        <w:rPr>
          <w:rFonts w:ascii="Titillium" w:eastAsia="Titilium" w:hAnsi="Titillium" w:cs="Titilium"/>
          <w:b/>
          <w:color w:val="000000"/>
          <w:sz w:val="21"/>
          <w:szCs w:val="21"/>
          <w:vertAlign w:val="superscript"/>
        </w:rPr>
        <w:footnoteReference w:id="2"/>
      </w:r>
      <w:r w:rsidRPr="00BA56CE">
        <w:rPr>
          <w:rFonts w:ascii="Titillium" w:eastAsia="Titilium" w:hAnsi="Titillium" w:cs="Titilium"/>
          <w:color w:val="000000"/>
          <w:sz w:val="21"/>
          <w:szCs w:val="21"/>
        </w:rPr>
        <w:t>;</w:t>
      </w:r>
    </w:p>
    <w:p w:rsidR="00D11D81" w:rsidRPr="00BA56CE" w:rsidRDefault="003059A2">
      <w:pPr>
        <w:numPr>
          <w:ilvl w:val="0"/>
          <w:numId w:val="1"/>
        </w:numPr>
        <w:pBdr>
          <w:top w:val="nil"/>
          <w:left w:val="nil"/>
          <w:bottom w:val="nil"/>
          <w:right w:val="nil"/>
          <w:between w:val="nil"/>
        </w:pBdr>
        <w:ind w:left="0" w:right="45"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accettare il patto di integrità/protocollo di legalità. La mancata accettazione delle clausole contenute nel protocollo di legalità/patto di integrità costituisce causa di esclusione dalla procedura, ai sensi dell’articolo 83-bis, del Decreto Legislativo 6 settembre 2011, numero 159;</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impegnarsi, in caso di aggiudicazione, ad eseguire l’appalto in conformità al principio “</w:t>
      </w:r>
      <w:r w:rsidRPr="00BA56CE">
        <w:rPr>
          <w:rFonts w:ascii="Titillium" w:eastAsia="Titilium" w:hAnsi="Titillium" w:cs="Titilium"/>
          <w:b/>
          <w:i/>
          <w:color w:val="000000"/>
          <w:sz w:val="21"/>
          <w:szCs w:val="21"/>
        </w:rPr>
        <w:t>DNSH</w:t>
      </w:r>
      <w:r w:rsidRPr="00BA56CE">
        <w:rPr>
          <w:rFonts w:ascii="Titillium" w:eastAsia="Titilium" w:hAnsi="Titillium" w:cs="Titilium"/>
          <w:color w:val="000000"/>
          <w:sz w:val="21"/>
          <w:szCs w:val="21"/>
        </w:rPr>
        <w:t>” (</w:t>
      </w:r>
      <w:r w:rsidRPr="00BA56CE">
        <w:rPr>
          <w:rFonts w:ascii="Titillium" w:eastAsia="Titilium" w:hAnsi="Titillium" w:cs="Titilium"/>
          <w:b/>
          <w:i/>
          <w:color w:val="000000"/>
          <w:sz w:val="21"/>
          <w:szCs w:val="21"/>
        </w:rPr>
        <w:t>Do Not Significant Harm</w:t>
      </w:r>
      <w:r w:rsidRPr="00BA56CE">
        <w:rPr>
          <w:rFonts w:ascii="Titillium" w:eastAsia="Titilium" w:hAnsi="Titillium" w:cs="Titilium"/>
          <w:color w:val="000000"/>
          <w:sz w:val="21"/>
          <w:szCs w:val="21"/>
        </w:rPr>
        <w:t>), in particolare con riferimento all’Articolo 17 del Regolamento UE 2020/852, alla Comunicazione della Commissione UE 2021/C 58/01 recante “Orientamenti tecnici sull’applicazione del principio «non arrecare un danno significativo» a norma del regolamento sul dispositivo per la ripresa e la resilienza”, al Regolamento Delegato (UE) 2021/2139 e alla Guida Operativa di cui alla circolare del Ministero dell’Economia e delle Finanze del numero 33 del 13 ottobre 2022;</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aver assolto agli obblighi di cui alla Legge 12 marzo 1999, numero 68;</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impiegare, all’atto della presentazione della domanda, un numero di dipendenti pari a 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operatori con meno di 15 dipendenti)</w:t>
      </w:r>
      <w:r w:rsidRPr="00BA56CE">
        <w:rPr>
          <w:rFonts w:ascii="Titillium" w:eastAsia="Titilium" w:hAnsi="Titillium" w:cs="Titilium"/>
          <w:color w:val="000000"/>
          <w:sz w:val="21"/>
          <w:szCs w:val="21"/>
        </w:rPr>
        <w:t xml:space="preserve">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essere tenuto al rispetto di quanto prescritto dall’art. 47, commi 2, 3 e 3bis, del Decreto Legge 31 maggio 2021, numero 77, convertito con modificazioni dalla Legge 29 luglio 2021, numero 108;</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operatori con un numero di dipendenti pari o superiore a 15 e non superiore a 50)</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lastRenderedPageBreak/>
        <w:t>di impegnarsi, in caso di aggiudicazione</w:t>
      </w:r>
      <w:r w:rsidRPr="00BA56CE">
        <w:rPr>
          <w:rFonts w:ascii="Titillium" w:eastAsia="Titilium" w:hAnsi="Titillium" w:cs="Titilium"/>
          <w:color w:val="000000"/>
          <w:sz w:val="21"/>
          <w:szCs w:val="21"/>
        </w:rPr>
        <w:t xml:space="preserve">, a consegnare al Committente, </w:t>
      </w:r>
      <w:r w:rsidRPr="00BA56CE">
        <w:rPr>
          <w:rFonts w:ascii="Titillium" w:eastAsia="Titilium" w:hAnsi="Titillium" w:cs="Titilium"/>
          <w:b/>
          <w:color w:val="000000"/>
          <w:sz w:val="21"/>
          <w:szCs w:val="21"/>
        </w:rPr>
        <w:t>entro 6 mesi dalla conclusione del Contratto</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una relazione di genere</w:t>
      </w:r>
      <w:r w:rsidRPr="00BA56CE">
        <w:rPr>
          <w:rFonts w:ascii="Titillium" w:eastAsia="Titilium" w:hAnsi="Titillium" w:cs="Titilium"/>
          <w:color w:val="000000"/>
          <w:sz w:val="21"/>
          <w:szCs w:val="21"/>
        </w:rPr>
        <w:t xml:space="preserv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La relazione è tramessa alle rappresentanze sindacali aziendali - ove presenti - e in modalità telematica al Ministero del Lavoro e delle Politiche Sociali utilizzando l’apposito portale, attraverso il quale la Consigliera e il Consigliere regionale di Parità potranno accedere ai rapporti trasmessi dalle aziende;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impegnarsi a consegnare al Committente, </w:t>
      </w:r>
      <w:r w:rsidRPr="00BA56CE">
        <w:rPr>
          <w:rFonts w:ascii="Titillium" w:eastAsia="Titilium" w:hAnsi="Titillium" w:cs="Titilium"/>
          <w:b/>
          <w:color w:val="000000"/>
          <w:sz w:val="21"/>
          <w:szCs w:val="21"/>
        </w:rPr>
        <w:t>entro 6 mesi dalla conclusione del Contratto,</w:t>
      </w:r>
      <w:r w:rsidRPr="00BA56CE">
        <w:rPr>
          <w:rFonts w:ascii="Titillium" w:eastAsia="Titilium" w:hAnsi="Titillium" w:cs="Titilium"/>
          <w:color w:val="000000"/>
          <w:sz w:val="21"/>
          <w:szCs w:val="21"/>
        </w:rPr>
        <w:t xml:space="preserve"> una dichiarazione del legale rappresentante che attesti di essere in regola con le norme che disciplinano </w:t>
      </w:r>
      <w:r w:rsidRPr="00BA56CE">
        <w:rPr>
          <w:rFonts w:ascii="Titillium" w:eastAsia="Titilium" w:hAnsi="Titillium" w:cs="Titilium"/>
          <w:b/>
          <w:color w:val="000000"/>
          <w:sz w:val="21"/>
          <w:szCs w:val="21"/>
        </w:rPr>
        <w:t>il diritto al lavoro delle persone con disabilità</w:t>
      </w:r>
      <w:r w:rsidRPr="00BA56CE">
        <w:rPr>
          <w:rFonts w:ascii="Titillium" w:eastAsia="Titilium" w:hAnsi="Titillium" w:cs="Titilium"/>
          <w:color w:val="000000"/>
          <w:sz w:val="21"/>
          <w:szCs w:val="21"/>
        </w:rPr>
        <w:t>, nonché una relazione che chiarisca l’avvenuto assolvimento degli obblighi previsti dalla legge 68/99 ed illustri le eventuali sanzioni ed i provvedimenti imposti nel triennio precedente la data di scadenza per la presentazione delle offerte. Tale relazione deve essere trasmessa anche alle rappresentanze sindacali;</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(in caso di operatori con un numero di dipendenti superiore a 50)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w:t>
      </w:r>
      <w:r w:rsidRPr="00BA56CE">
        <w:rPr>
          <w:rFonts w:ascii="Titillium" w:eastAsia="Titilium" w:hAnsi="Titillium" w:cs="Titilium"/>
          <w:b/>
          <w:color w:val="000000"/>
          <w:sz w:val="21"/>
          <w:szCs w:val="21"/>
        </w:rPr>
        <w:t>allegare copia dell'ultimo rapporto sulla situazione del personale</w:t>
      </w:r>
      <w:r w:rsidRPr="00BA56CE">
        <w:rPr>
          <w:rFonts w:ascii="Titillium" w:eastAsia="Titilium" w:hAnsi="Titillium" w:cs="Titilium"/>
          <w:color w:val="000000"/>
          <w:sz w:val="21"/>
          <w:szCs w:val="21"/>
        </w:rPr>
        <w:t>, redatto ai sensi dell'articolo 46, comma 2, del Decreto Legislativo 11 aprile 2006, numero 198, corredato della attestazione di conformità a quello eventualmente già trasmesso alle rappresentanze sindacali aziendali - ove presenti - e in modalità telematica al Ministero del Lavoro e delle Politiche Sociali utilizzando l’apposito portale, attraverso il quale la Consigliera e il Consigliere regionale di Parità</w:t>
      </w:r>
      <w:r w:rsidRPr="00BA56CE">
        <w:rPr>
          <w:rFonts w:ascii="Titillium" w:eastAsia="Titilium" w:hAnsi="Titillium" w:cs="Titilium"/>
          <w:b/>
          <w:color w:val="000000"/>
          <w:sz w:val="21"/>
          <w:szCs w:val="21"/>
          <w:vertAlign w:val="superscript"/>
        </w:rPr>
        <w:t xml:space="preserve"> </w:t>
      </w:r>
      <w:r w:rsidRPr="00BA56CE">
        <w:rPr>
          <w:rFonts w:ascii="Titillium" w:eastAsia="Titilium" w:hAnsi="Titillium" w:cs="Titilium"/>
          <w:color w:val="000000"/>
          <w:sz w:val="21"/>
          <w:szCs w:val="21"/>
        </w:rPr>
        <w:t>potranno accedere ai rapporti trasmessi dalle aziende;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essere incorso, in una precedente gara, nell’inadempimento dell’obbligo di cui all’articolo 47, comma 3, del Decreto Legge 31 maggio 2021, numero 77 e di non trovarsi, pertanto, nella impossibilità temporanea di partecipare ad ulteriori procedure di affidamento nell’ambito del PNRR/PNC;</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aver affidato incarichi e/o concluso contratti di lavoro subordinato o autonomo in violazione dell'art. 53, comma 16-ter, del Decreto Legislativo 30 marzo 2001, numero 165;</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bookmarkStart w:id="2" w:name="_heading=h.2et92p0" w:colFirst="0" w:colLast="0"/>
      <w:bookmarkEnd w:id="2"/>
      <w:r w:rsidRPr="00BA56CE">
        <w:rPr>
          <w:rFonts w:ascii="Titillium" w:eastAsia="Titilium" w:hAnsi="Titillium" w:cs="Titilium"/>
          <w:color w:val="000000"/>
          <w:sz w:val="21"/>
          <w:szCs w:val="21"/>
        </w:rPr>
        <w:t>di essere informato che i dati personali raccolti saranno trattati, anche con strumenti informatici, esclusivamente nell’ambito della presente procedura conformemente a quanto stabilito dal "</w:t>
      </w:r>
      <w:r w:rsidRPr="00BA56CE">
        <w:rPr>
          <w:rFonts w:ascii="Titillium" w:eastAsia="Titilium" w:hAnsi="Titillium" w:cs="Titilium"/>
          <w:b/>
          <w:i/>
          <w:color w:val="000000"/>
          <w:sz w:val="21"/>
          <w:szCs w:val="21"/>
        </w:rPr>
        <w:t xml:space="preserve">Regolamento del Parlamento e del Consiglio Europeo del 27 aprile 2016, numero UE 2016/679,  relativo alla protezione </w:t>
      </w:r>
      <w:r w:rsidRPr="00BA56CE">
        <w:rPr>
          <w:rFonts w:ascii="Titillium" w:eastAsia="Titilium" w:hAnsi="Titillium" w:cs="Titilium"/>
          <w:b/>
          <w:i/>
          <w:color w:val="000000"/>
          <w:sz w:val="21"/>
          <w:szCs w:val="21"/>
        </w:rPr>
        <w:lastRenderedPageBreak/>
        <w:t>delle persone fisiche con riguardo al trattamento dei dati personali, nonché alla libera circolazione di tali dati, che abroga la Direttiva della Unione Europea del 24 ottobre 1995, numero 95/46/CE</w:t>
      </w:r>
      <w:r w:rsidRPr="00BA56CE">
        <w:rPr>
          <w:rFonts w:ascii="Titillium" w:eastAsia="Titilium" w:hAnsi="Titillium" w:cs="Titilium"/>
          <w:color w:val="000000"/>
          <w:sz w:val="21"/>
          <w:szCs w:val="21"/>
        </w:rPr>
        <w:t>", denominato anche "</w:t>
      </w:r>
      <w:r w:rsidRPr="00BA56CE">
        <w:rPr>
          <w:rFonts w:ascii="Titillium" w:eastAsia="Titilium" w:hAnsi="Titillium" w:cs="Titilium"/>
          <w:b/>
          <w:i/>
          <w:color w:val="000000"/>
          <w:sz w:val="21"/>
          <w:szCs w:val="21"/>
        </w:rPr>
        <w:t>Regolamento Generale sulla Protezione dei Dati</w:t>
      </w:r>
      <w:r w:rsidRPr="00BA56CE">
        <w:rPr>
          <w:rFonts w:ascii="Titillium" w:eastAsia="Titilium" w:hAnsi="Titillium" w:cs="Titilium"/>
          <w:color w:val="000000"/>
          <w:sz w:val="21"/>
          <w:szCs w:val="21"/>
        </w:rPr>
        <w:t>" (</w:t>
      </w:r>
      <w:r w:rsidRPr="00BA56CE">
        <w:rPr>
          <w:rFonts w:ascii="Titillium" w:eastAsia="Titilium" w:hAnsi="Titillium" w:cs="Titilium"/>
          <w:b/>
          <w:i/>
          <w:color w:val="000000"/>
          <w:sz w:val="21"/>
          <w:szCs w:val="21"/>
        </w:rPr>
        <w:t>GDPR</w:t>
      </w:r>
      <w:r w:rsidRPr="00BA56CE">
        <w:rPr>
          <w:rFonts w:ascii="Titillium" w:eastAsia="Titilium" w:hAnsi="Titillium" w:cs="Titilium"/>
          <w:color w:val="000000"/>
          <w:sz w:val="21"/>
          <w:szCs w:val="21"/>
        </w:rPr>
        <w:t>) e dalla normativa italiana vigente.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 [in caso di soggetto non residente e privo di stabile organizzazione in Italia] </w:t>
      </w:r>
      <w:r w:rsidRPr="00BA56CE">
        <w:rPr>
          <w:rFonts w:ascii="Titillium" w:eastAsia="Titilium" w:hAnsi="Titillium" w:cs="Titilium"/>
          <w:color w:val="000000"/>
          <w:sz w:val="21"/>
          <w:szCs w:val="21"/>
        </w:rPr>
        <w:t>che l’Impresa, in caso di aggiudicazione, si uniformerà alla disciplina di cui agli articoli 17, comma 2, e 53, comma 3, del Decreto del Presidente della Repubblica del 26 ottobre 1972, numero 633 e comunicherà alla Stazione Appaltante la nomina del proprio rappresentante fiscale, nelle forme di legge;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R.T.I./Consorzio ordinario/GEIE]</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l’R.T.I./Consorzio ordinario/GEIE è già costituito, come si evince dalla allegata copia per immagine (scansione di documento cartaceo)/informatica del mandato collettivo/atto costitutivo;</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è già stata individuata l’Impresa a cui, in caso di aggiudicazione, sarà conferito mandato collettivo speciale ed irrevocabile con rappresentanza, ovvero l’Impresa che, in caso di aggiudicazione, sarà designata quale referente responsabile del Consorzio e che vi è l’impegno ad uniformarsi alla</w:t>
      </w:r>
      <w:r w:rsidRPr="00BA56CE">
        <w:rPr>
          <w:rFonts w:ascii="Titillium" w:eastAsia="Titilium" w:hAnsi="Titillium" w:cs="Titilium"/>
          <w:color w:val="000000"/>
          <w:sz w:val="21"/>
          <w:szCs w:val="21"/>
          <w:highlight w:val="white"/>
        </w:rPr>
        <w:t xml:space="preserve"> disciplina prevista dagli articoli 67 e 68 del Decreto Legislativo 31 marzo 2023, numero 36, </w:t>
      </w:r>
      <w:r w:rsidRPr="00BA56CE">
        <w:rPr>
          <w:rFonts w:ascii="Titillium" w:eastAsia="Titilium" w:hAnsi="Titillium" w:cs="Titilium"/>
          <w:color w:val="000000"/>
          <w:sz w:val="21"/>
          <w:szCs w:val="21"/>
        </w:rPr>
        <w:t xml:space="preserve">come si evince dalle/a dichiarazioni/dichiarazione congiunta </w:t>
      </w:r>
      <w:r w:rsidRPr="00BA56CE">
        <w:rPr>
          <w:rFonts w:ascii="Titillium" w:eastAsia="Titilium" w:hAnsi="Titillium" w:cs="Titilium"/>
          <w:b/>
          <w:color w:val="000000"/>
          <w:sz w:val="21"/>
          <w:szCs w:val="21"/>
        </w:rPr>
        <w:t>allegate/a.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 [in caso di Rete d’Impresa]</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che la Rete è dotata di soggettività giuridica, ai sensi dell’articolo 3, comma 4-quater, del Decreto Legge 10 febbraio 2009, numero 5, e dotata di un organo comune con potere di rappresentanza e che la stessa è stata costituita mediante contratto redatto per atto pubblico/scrittura privata autenticata ovvero atto firmato digitalmente a norma dell’articolo 25 del Decreto Legislativo 7 marzo 2005, numero 82, di cui si </w:t>
      </w:r>
      <w:r w:rsidRPr="00BA56CE">
        <w:rPr>
          <w:rFonts w:ascii="Titillium" w:eastAsia="Titilium" w:hAnsi="Titillium" w:cs="Titilium"/>
          <w:b/>
          <w:color w:val="000000"/>
          <w:sz w:val="21"/>
          <w:szCs w:val="21"/>
        </w:rPr>
        <w:t>allega</w:t>
      </w:r>
      <w:r w:rsidRPr="00BA56CE">
        <w:rPr>
          <w:rFonts w:ascii="Titillium" w:eastAsia="Titilium" w:hAnsi="Titillium" w:cs="Titilium"/>
          <w:color w:val="000000"/>
          <w:sz w:val="21"/>
          <w:szCs w:val="21"/>
        </w:rPr>
        <w:t xml:space="preserve"> copia per immagine (scansione di documento cartaceo)/informatica,</w:t>
      </w:r>
    </w:p>
    <w:p w:rsidR="00D11D81" w:rsidRPr="00BA56CE" w:rsidRDefault="003059A2">
      <w:p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la Rete è priva di soggettività giuridica e dotata di organo comune con potere di rappresentanza ed è stata costituita mediante</w:t>
      </w:r>
    </w:p>
    <w:p w:rsidR="00D11D81" w:rsidRPr="00BA56CE" w:rsidRDefault="003059A2">
      <w:pPr>
        <w:numPr>
          <w:ilvl w:val="0"/>
          <w:numId w:val="5"/>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contratto redatto per atto pubblico/scrittura privata autenticata/atto firmato digitalmente a norma dell’articolo 25 del Decreto Legislativo 7 marzo 2005, numero 82, recante il mandato collettivo </w:t>
      </w:r>
      <w:r w:rsidRPr="00BA56CE">
        <w:rPr>
          <w:rFonts w:ascii="Titillium" w:eastAsia="Titilium" w:hAnsi="Titillium" w:cs="Titilium"/>
          <w:color w:val="000000"/>
          <w:sz w:val="21"/>
          <w:szCs w:val="21"/>
        </w:rPr>
        <w:lastRenderedPageBreak/>
        <w:t xml:space="preserve">irrevocabile con rappresentanza conferito alla impresa mandataria, di cui si </w:t>
      </w:r>
      <w:r w:rsidRPr="00BA56CE">
        <w:rPr>
          <w:rFonts w:ascii="Titillium" w:eastAsia="Titilium" w:hAnsi="Titillium" w:cs="Titilium"/>
          <w:b/>
          <w:color w:val="000000"/>
          <w:sz w:val="21"/>
          <w:szCs w:val="21"/>
        </w:rPr>
        <w:t>allega</w:t>
      </w:r>
      <w:r w:rsidRPr="00BA56CE">
        <w:rPr>
          <w:rFonts w:ascii="Titillium" w:eastAsia="Titilium" w:hAnsi="Titillium" w:cs="Titilium"/>
          <w:color w:val="000000"/>
          <w:sz w:val="21"/>
          <w:szCs w:val="21"/>
        </w:rPr>
        <w:t xml:space="preserve"> copia per immagine (scansione di documento cartaceo)/informatica</w:t>
      </w:r>
    </w:p>
    <w:p w:rsidR="00D11D81" w:rsidRPr="00BA56CE" w:rsidRDefault="003059A2">
      <w:p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ovvero</w:t>
      </w:r>
    </w:p>
    <w:p w:rsidR="00D11D81" w:rsidRPr="00BA56CE" w:rsidRDefault="003059A2">
      <w:pPr>
        <w:numPr>
          <w:ilvl w:val="0"/>
          <w:numId w:val="5"/>
        </w:numPr>
        <w:pBdr>
          <w:top w:val="nil"/>
          <w:left w:val="nil"/>
          <w:bottom w:val="nil"/>
          <w:right w:val="nil"/>
          <w:between w:val="nil"/>
        </w:pBdr>
        <w:tabs>
          <w:tab w:val="left" w:pos="1276"/>
        </w:tabs>
        <w:spacing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contratto redatto in altra forma </w:t>
      </w:r>
      <w:r w:rsidRPr="00BA56CE">
        <w:rPr>
          <w:rFonts w:ascii="Titillium" w:eastAsia="Titilium" w:hAnsi="Titillium" w:cs="Titilium"/>
          <w:i/>
          <w:color w:val="000000"/>
          <w:sz w:val="21"/>
          <w:szCs w:val="21"/>
        </w:rPr>
        <w:t>[indicare l’eventuale ulteriore forma di redazione del contratto di Rete]</w:t>
      </w:r>
      <w:r w:rsidRPr="00BA56CE">
        <w:rPr>
          <w:rFonts w:ascii="Titillium" w:eastAsia="Titilium" w:hAnsi="Titillium" w:cs="Titilium"/>
          <w:color w:val="000000"/>
          <w:sz w:val="21"/>
          <w:szCs w:val="21"/>
        </w:rPr>
        <w:t xml:space="preserve"> _________________________________ e che è già stato conferito mandato collettivo irrevocabile con rappresentanza alla impresa mandataria, nella forma della scrittura privata autenticata, anche ai sensi dell’art. 25 del Decreto Legislativo 7 marzo 2005, numero 82, come si evince dall’</w:t>
      </w:r>
      <w:r w:rsidRPr="00BA56CE">
        <w:rPr>
          <w:rFonts w:ascii="Titillium" w:eastAsia="Titilium" w:hAnsi="Titillium" w:cs="Titilium"/>
          <w:b/>
          <w:color w:val="000000"/>
          <w:sz w:val="21"/>
          <w:szCs w:val="21"/>
        </w:rPr>
        <w:t>allegato</w:t>
      </w:r>
      <w:r w:rsidRPr="00BA56CE">
        <w:rPr>
          <w:rFonts w:ascii="Titillium" w:eastAsia="Titilium" w:hAnsi="Titillium" w:cs="Titilium"/>
          <w:color w:val="000000"/>
          <w:sz w:val="21"/>
          <w:szCs w:val="21"/>
        </w:rPr>
        <w:t xml:space="preserve"> documento prodotto in copia per immagine (Scansione di documento cartaceo)/informatica,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 [nelle ulteriori ipotesi di configurazione giuridica della Rete]</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la Rete è dotata di organo comune privo del potere di rappresentanza/priva di organo comune di rappresentanza/dotata di organo comune privo dei requisiti di qualificazione richiesti, e che pertanto partecipa nelle forme di RTI:</w:t>
      </w:r>
    </w:p>
    <w:p w:rsidR="00D11D81" w:rsidRPr="00BA56CE" w:rsidRDefault="003059A2">
      <w:pPr>
        <w:numPr>
          <w:ilvl w:val="0"/>
          <w:numId w:val="7"/>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già costituito, come si evince dalla </w:t>
      </w:r>
      <w:r w:rsidRPr="00BA56CE">
        <w:rPr>
          <w:rFonts w:ascii="Titillium" w:eastAsia="Titilium" w:hAnsi="Titillium" w:cs="Titilium"/>
          <w:b/>
          <w:color w:val="000000"/>
          <w:sz w:val="21"/>
          <w:szCs w:val="21"/>
        </w:rPr>
        <w:t>allegata</w:t>
      </w:r>
      <w:r w:rsidRPr="00BA56CE">
        <w:rPr>
          <w:rFonts w:ascii="Titillium" w:eastAsia="Titilium" w:hAnsi="Titillium" w:cs="Titilium"/>
          <w:color w:val="000000"/>
          <w:sz w:val="21"/>
          <w:szCs w:val="21"/>
        </w:rPr>
        <w:t xml:space="preserve"> copia per immagine (scansione di documento cartaceo)/informatica del contratto di rete, redatto per atto pubblico o scrittura privata autenticata ovvero per atto firmato digitalmente a norma dell’art. 25 del Decreto Legislativo 7 marzo 2005, numero 82 con </w:t>
      </w:r>
      <w:r w:rsidRPr="00BA56CE">
        <w:rPr>
          <w:rFonts w:ascii="Titillium" w:eastAsia="Titilium" w:hAnsi="Titillium" w:cs="Titilium"/>
          <w:b/>
          <w:color w:val="000000"/>
          <w:sz w:val="21"/>
          <w:szCs w:val="21"/>
        </w:rPr>
        <w:t xml:space="preserve">allegato </w:t>
      </w:r>
      <w:r w:rsidRPr="00BA56CE">
        <w:rPr>
          <w:rFonts w:ascii="Titillium" w:eastAsia="Titilium" w:hAnsi="Titillium" w:cs="Titilium"/>
          <w:color w:val="000000"/>
          <w:sz w:val="21"/>
          <w:szCs w:val="21"/>
        </w:rPr>
        <w:t xml:space="preserve">il mandato collettivo irrevocabile con rappresentanza conferito alla mandataria, recante l’indicazione del soggetto designato quale mandatario e delle parti del servizio o della fornitura, ovvero della percentuale in caso di servizio indivisibile, che saranno eseguite dai singoli operatori economici aggregati in rete ovvero, qualora il contratto di rete sia stato redatto con mera firma digitale non autenticata ai sensi dell’art. 24 del Decreto Legislativo 7 marzo 2005, numero 82, con </w:t>
      </w:r>
      <w:r w:rsidRPr="00BA56CE">
        <w:rPr>
          <w:rFonts w:ascii="Titillium" w:eastAsia="Titilium" w:hAnsi="Titillium" w:cs="Titilium"/>
          <w:b/>
          <w:color w:val="000000"/>
          <w:sz w:val="21"/>
          <w:szCs w:val="21"/>
        </w:rPr>
        <w:t>allegato</w:t>
      </w:r>
      <w:r w:rsidRPr="00BA56CE">
        <w:rPr>
          <w:rFonts w:ascii="Titillium" w:eastAsia="Titilium" w:hAnsi="Titillium" w:cs="Titilium"/>
          <w:color w:val="000000"/>
          <w:sz w:val="21"/>
          <w:szCs w:val="21"/>
        </w:rPr>
        <w:t xml:space="preserve"> mandato avente forma dell’atto pubblico o della scrittura privata autenticata, anche ai sensi dell’art. 25 del medesimo Decreto;</w:t>
      </w:r>
    </w:p>
    <w:p w:rsidR="00D11D81" w:rsidRPr="00BA56CE" w:rsidRDefault="003059A2">
      <w:pPr>
        <w:numPr>
          <w:ilvl w:val="0"/>
          <w:numId w:val="7"/>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bookmarkStart w:id="3" w:name="_heading=h.tyjcwt" w:colFirst="0" w:colLast="0"/>
      <w:bookmarkEnd w:id="3"/>
      <w:r w:rsidRPr="00BA56CE">
        <w:rPr>
          <w:rFonts w:ascii="Titillium" w:eastAsia="Titilium" w:hAnsi="Titillium" w:cs="Titilium"/>
          <w:color w:val="000000"/>
          <w:sz w:val="21"/>
          <w:szCs w:val="21"/>
        </w:rPr>
        <w:t xml:space="preserve">costituendo e che è già stata individuata l’Impresa a cui, in caso di aggiudicazione, sarà conferito mandato collettivo speciale ed irrevocabile con rappresentanza (con scrittura privata ovvero, qualora il contratto di rete sia stato redatto con mera firma digitale non autenticata ai sensi dell’art. 24 del Decreto Legislativo 7 marzo 2005, numero 82, nella forma dell’atto pubblico o della scrittura privata autenticata, anche ai sensi dell’art. 25 del Decreto Legislativo 7 marzo 2005, numero 82) e che vi è l’impegno ad uniformarsi alla disciplina </w:t>
      </w:r>
      <w:r w:rsidRPr="00BA56CE">
        <w:rPr>
          <w:rFonts w:ascii="Titillium" w:eastAsia="Titilium" w:hAnsi="Titillium" w:cs="Titilium"/>
          <w:color w:val="000000"/>
          <w:sz w:val="21"/>
          <w:szCs w:val="21"/>
          <w:highlight w:val="white"/>
        </w:rPr>
        <w:t>prevista dall’articolo 68, comma 1, del Decreto Legislativo 31 marzo 2023, numero 36, c</w:t>
      </w:r>
      <w:r w:rsidRPr="00BA56CE">
        <w:rPr>
          <w:rFonts w:ascii="Titillium" w:eastAsia="Titilium" w:hAnsi="Titillium" w:cs="Titilium"/>
          <w:color w:val="000000"/>
          <w:sz w:val="21"/>
          <w:szCs w:val="21"/>
        </w:rPr>
        <w:t xml:space="preserve">ome si evince dalle/a dichiarazioni/dichiarazione congiunta </w:t>
      </w:r>
      <w:r w:rsidRPr="00BA56CE">
        <w:rPr>
          <w:rFonts w:ascii="Titillium" w:eastAsia="Titilium" w:hAnsi="Titillium" w:cs="Titilium"/>
          <w:b/>
          <w:color w:val="000000"/>
          <w:sz w:val="21"/>
          <w:szCs w:val="21"/>
        </w:rPr>
        <w:t>allegate/a</w:t>
      </w:r>
      <w:r w:rsidRPr="00BA56CE">
        <w:rPr>
          <w:rFonts w:ascii="Titillium" w:eastAsia="Titilium" w:hAnsi="Titillium" w:cs="Titilium"/>
          <w:color w:val="000000"/>
          <w:sz w:val="21"/>
          <w:szCs w:val="21"/>
        </w:rPr>
        <w:t>.</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lastRenderedPageBreak/>
        <w:t xml:space="preserve">[in caso di R.T.I./Consorzio ordinario/Rete d’Impresa/GEIE costituiti o costituendi] </w:t>
      </w:r>
      <w:r w:rsidRPr="00BA56CE">
        <w:rPr>
          <w:rFonts w:ascii="Titillium" w:eastAsia="Titilium" w:hAnsi="Titillium" w:cs="Titilium"/>
          <w:color w:val="000000"/>
          <w:sz w:val="21"/>
          <w:szCs w:val="21"/>
        </w:rPr>
        <w:t xml:space="preserve">che le Imprese partecipanti al R.T.I./Consorzio/Rete d’Impresa/GEIE eseguiranno i </w:t>
      </w:r>
      <w:r w:rsidRPr="00BA56CE">
        <w:rPr>
          <w:rFonts w:ascii="Titillium" w:eastAsia="Titilium" w:hAnsi="Titillium" w:cs="Titilium"/>
          <w:color w:val="C00000"/>
          <w:sz w:val="21"/>
          <w:szCs w:val="21"/>
        </w:rPr>
        <w:t>_______</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oggetto] __________________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oggetto] __________________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oggetto]  __________________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__________________[indicare oggetto] ___________________ % ______ </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Consorzio di cui all’art. 65, comma 2, lett. b), c) e d), del Decreto Legislativo 31 marzo 2023, numero 36 e di rete di imprese dotate di organo comune di rappresentanza e di soggettività giuridica</w:t>
      </w:r>
      <w:r w:rsidRPr="00BA56CE">
        <w:rPr>
          <w:rFonts w:ascii="Titillium" w:eastAsia="Titilium" w:hAnsi="Titillium" w:cs="Titilium"/>
          <w:i/>
          <w:color w:val="000000"/>
          <w:sz w:val="21"/>
          <w:szCs w:val="21"/>
          <w:highlight w:val="green"/>
        </w:rPr>
        <w:t>]</w:t>
      </w:r>
      <w:r w:rsidRPr="00BA56CE">
        <w:rPr>
          <w:rFonts w:ascii="Titillium" w:eastAsia="Titilium" w:hAnsi="Titillium" w:cs="Titilium"/>
          <w:i/>
          <w:color w:val="000000"/>
          <w:sz w:val="21"/>
          <w:szCs w:val="21"/>
        </w:rPr>
        <w:t xml:space="preserve"> </w:t>
      </w:r>
      <w:r w:rsidRPr="00BA56CE">
        <w:rPr>
          <w:rFonts w:ascii="Titillium" w:eastAsia="Titilium" w:hAnsi="Titillium" w:cs="Titilium"/>
          <w:color w:val="000000"/>
          <w:sz w:val="21"/>
          <w:szCs w:val="21"/>
        </w:rPr>
        <w:t>che il Consorzio/Rete di impresa partecipa per le seguenti consorziate/Imprese:</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pBdr>
          <w:top w:val="nil"/>
          <w:left w:val="nil"/>
          <w:bottom w:val="nil"/>
          <w:right w:val="nil"/>
          <w:between w:val="nil"/>
        </w:pBdr>
        <w:spacing w:before="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questa Impresa non propone offerta per la procedura in oggetto al contempo singolarmente e quale componente di un R.T.I., Rete, Consorzio o gruppo ovvero che non parteciperà a più R.T.I., Reti, Consorzi o gruppi;</w:t>
      </w:r>
    </w:p>
    <w:p w:rsidR="00D11D81" w:rsidRPr="00BA56CE" w:rsidRDefault="003059A2">
      <w:pPr>
        <w:numPr>
          <w:ilvl w:val="0"/>
          <w:numId w:val="1"/>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che questa Impresa: </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intende ricorrere al subappalto, nei limiti di legge, in relazione alle seguenti prestazioni</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_________________</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non intende ricorrere al subappalto </w:t>
      </w:r>
    </w:p>
    <w:p w:rsidR="00D11D81" w:rsidRPr="00BA56CE" w:rsidRDefault="00D11D81">
      <w:pPr>
        <w:pBdr>
          <w:top w:val="nil"/>
          <w:left w:val="nil"/>
          <w:bottom w:val="nil"/>
          <w:right w:val="nil"/>
          <w:between w:val="nil"/>
        </w:pBdr>
        <w:spacing w:before="0" w:after="0"/>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__________________, lì ________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Il Documento deve essere firmato digitalmente</w:t>
      </w:r>
    </w:p>
    <w:p w:rsidR="00D11D81" w:rsidRPr="00BA56CE" w:rsidRDefault="003059A2">
      <w:pPr>
        <w:pBdr>
          <w:top w:val="nil"/>
          <w:left w:val="nil"/>
          <w:bottom w:val="nil"/>
          <w:right w:val="nil"/>
          <w:between w:val="nil"/>
        </w:pBdr>
        <w:spacing w:after="0"/>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ALLEGATO A</w:t>
      </w:r>
    </w:p>
    <w:tbl>
      <w:tblPr>
        <w:tblStyle w:val="a2"/>
        <w:tblW w:w="9778" w:type="dxa"/>
        <w:tblInd w:w="-7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265"/>
        <w:gridCol w:w="1267"/>
        <w:gridCol w:w="1177"/>
        <w:gridCol w:w="921"/>
        <w:gridCol w:w="1250"/>
        <w:gridCol w:w="1676"/>
        <w:gridCol w:w="2222"/>
      </w:tblGrid>
      <w:tr w:rsidR="00D11D81" w:rsidRPr="00BA56CE">
        <w:tc>
          <w:tcPr>
            <w:tcW w:w="1265"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Cognome</w:t>
            </w:r>
          </w:p>
        </w:tc>
        <w:tc>
          <w:tcPr>
            <w:tcW w:w="1267"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Nome</w:t>
            </w:r>
          </w:p>
        </w:tc>
        <w:tc>
          <w:tcPr>
            <w:tcW w:w="1177"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Luogo di nascita</w:t>
            </w:r>
          </w:p>
        </w:tc>
        <w:tc>
          <w:tcPr>
            <w:tcW w:w="921"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Data di nascita</w:t>
            </w:r>
          </w:p>
        </w:tc>
        <w:tc>
          <w:tcPr>
            <w:tcW w:w="1250"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Residenza</w:t>
            </w:r>
          </w:p>
        </w:tc>
        <w:tc>
          <w:tcPr>
            <w:tcW w:w="1676"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Codice fiscale</w:t>
            </w:r>
          </w:p>
        </w:tc>
        <w:tc>
          <w:tcPr>
            <w:tcW w:w="2222"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Carica rivestita</w:t>
            </w: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bl>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 xml:space="preserve"> ALLEGATO B</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Ulteriori indicazioni necessarie all’effettuazione degli accertamenti relativi alle singole cause di esclusione.</w:t>
      </w: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Ufficio/sede dell’Agenzia delle Entrate: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Ufficio di ________________________________, città __________________________________, Prov. _____, via _________________________, n. _____, CAP _______ tel. _________________, e-mail ________________________________, PEC _____________________________________.</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Ufficio della Provincia competente per la certificazione di cui alla legge 68/1999:</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Provincia di _________________________,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D11D81" w:rsidRPr="00BA56CE" w:rsidRDefault="00D11D81">
      <w:pPr>
        <w:pBdr>
          <w:top w:val="nil"/>
          <w:left w:val="nil"/>
          <w:bottom w:val="nil"/>
          <w:right w:val="nil"/>
          <w:between w:val="nil"/>
        </w:pBdr>
        <w:spacing w:after="0"/>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__________________, lì ________ </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Il Documento deve essere firmato digitalmente</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ALLEGATO C</w:t>
      </w:r>
    </w:p>
    <w:p w:rsidR="00D11D81" w:rsidRPr="00BA56CE" w:rsidRDefault="003059A2">
      <w:pPr>
        <w:pBdr>
          <w:top w:val="nil"/>
          <w:left w:val="nil"/>
          <w:bottom w:val="nil"/>
          <w:right w:val="nil"/>
          <w:between w:val="nil"/>
        </w:pBdr>
        <w:spacing w:before="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DICHIARAZIONE SOSTITUTIVA DI CERTIFICAZIONE</w:t>
      </w:r>
    </w:p>
    <w:p w:rsidR="00D11D81" w:rsidRPr="00BA56CE" w:rsidRDefault="003059A2">
      <w:pPr>
        <w:pBdr>
          <w:top w:val="nil"/>
          <w:left w:val="nil"/>
          <w:bottom w:val="nil"/>
          <w:right w:val="nil"/>
          <w:between w:val="nil"/>
        </w:pBdr>
        <w:spacing w:before="0" w:line="240" w:lineRule="auto"/>
        <w:ind w:left="0" w:right="-47"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in ottemperanza alle disposizioni di cui al decreto legislativo 21 novembre 2007, n. 231, al Decreto Ministeriale MEF 11 marzo 2022 n. 55 e alle Linee Guida per lo svolgimento delle attività di controllo e rendicontazione degli interventi PNRR di competenze delle Amministrazioni Centrali e dei Soggetti attuatori</w:t>
      </w:r>
    </w:p>
    <w:p w:rsidR="00D11D81" w:rsidRPr="00BA56CE" w:rsidRDefault="003059A2">
      <w:pPr>
        <w:pBdr>
          <w:top w:val="nil"/>
          <w:left w:val="nil"/>
          <w:bottom w:val="nil"/>
          <w:right w:val="nil"/>
          <w:between w:val="nil"/>
        </w:pBdr>
        <w:spacing w:before="0" w:line="240" w:lineRule="auto"/>
        <w:ind w:left="0" w:right="-47"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(Norme di prevenzione dell’antiriciclaggio)</w:t>
      </w:r>
    </w:p>
    <w:p w:rsidR="00D11D81" w:rsidRPr="00BA56CE" w:rsidRDefault="003059A2">
      <w:pPr>
        <w:pBdr>
          <w:top w:val="nil"/>
          <w:left w:val="nil"/>
          <w:bottom w:val="nil"/>
          <w:right w:val="nil"/>
          <w:between w:val="nil"/>
        </w:pBdr>
        <w:spacing w:before="0" w:after="0" w:line="240" w:lineRule="auto"/>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(resa ai sensi dell’art. 46 del </w:t>
      </w:r>
      <w:r w:rsidRPr="00BA56CE">
        <w:rPr>
          <w:rFonts w:ascii="Titillium" w:eastAsia="Titilium" w:hAnsi="Titillium" w:cs="Titilium"/>
          <w:b/>
          <w:color w:val="000000"/>
          <w:sz w:val="21"/>
          <w:szCs w:val="21"/>
        </w:rPr>
        <w:t>Decreto del Presidente della Repubblica 28 dicembre 2000, n. 445</w:t>
      </w:r>
    </w:p>
    <w:p w:rsidR="00D11D81" w:rsidRPr="00BA56CE" w:rsidRDefault="003059A2">
      <w:pPr>
        <w:pBdr>
          <w:top w:val="nil"/>
          <w:left w:val="nil"/>
          <w:bottom w:val="nil"/>
          <w:right w:val="nil"/>
          <w:between w:val="nil"/>
        </w:pBdr>
        <w:spacing w:before="0" w:after="0" w:line="240" w:lineRule="auto"/>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Il/la sottoscritto/a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Altro (specificare)_____________</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rilasciato il ………………………………….…. da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b/>
          <w:color w:val="000000"/>
          <w:sz w:val="21"/>
          <w:szCs w:val="21"/>
        </w:rPr>
        <w:t>in qualità di rappresentante legale dell’impresa di seguito indicata:</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Ragione sociale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Sede legale: Via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CAP ………….. Comune ………………………………………. Provincia…………………………………….</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classificazione delle attività economiche predisposta dall’ISTAT (codice ATECO e descrizione): ……………………………………………………………………………………………………………………</w:t>
      </w:r>
    </w:p>
    <w:p w:rsidR="00D11D81" w:rsidRPr="00BA56CE" w:rsidRDefault="003059A2">
      <w:pPr>
        <w:pBdr>
          <w:top w:val="nil"/>
          <w:left w:val="nil"/>
          <w:bottom w:val="nil"/>
          <w:right w:val="nil"/>
          <w:between w:val="nil"/>
        </w:pBdr>
        <w:spacing w:before="24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consapevole che, qualora emerga la non veridicità del contenuto della presente dichiarazione, vedrà decadere il diritto, eventualmente concesso, alla fruizione dei benefici di cui al Bando in oggetto, ferme restando le sanzioni penali stabilite dall'articolo 76 del Decreto del Presidente della Repubblica 28 dicembre 2000, n. 445 per false attestazioni e mendaci dichiarazioni, </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bookmarkStart w:id="4" w:name="_heading=h.3dy6vkm" w:colFirst="0" w:colLast="0"/>
      <w:bookmarkEnd w:id="4"/>
      <w:r w:rsidRPr="00BA56CE">
        <w:rPr>
          <w:rFonts w:ascii="Titillium" w:eastAsia="Titilium" w:hAnsi="Titillium" w:cs="Titilium"/>
          <w:color w:val="000000"/>
          <w:sz w:val="21"/>
          <w:szCs w:val="21"/>
        </w:rPr>
        <w:t xml:space="preserve">in relazione alla partecipazione alla presente procedura </w:t>
      </w:r>
      <w:r w:rsidRPr="00BA56CE">
        <w:rPr>
          <w:rFonts w:ascii="Titillium" w:eastAsia="Titilium" w:hAnsi="Titillium" w:cs="Titilium"/>
          <w:b/>
          <w:color w:val="000000"/>
          <w:sz w:val="21"/>
          <w:szCs w:val="21"/>
          <w:u w:val="single"/>
        </w:rPr>
        <w:t>avendo preso visione delle istruzioni inerenti la definizione di “titolare effettivo” e le relative modalità di individuazione riportate in calce al presente schema di dichiarazione: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1)</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essere 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unico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impresa sopra indicata;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2)</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essere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 xml:space="preserve">impresa unitamente a: </w:t>
      </w:r>
    </w:p>
    <w:p w:rsidR="00D11D81" w:rsidRPr="00BA56CE" w:rsidRDefault="003059A2">
      <w:pPr>
        <w:pBdr>
          <w:top w:val="nil"/>
          <w:left w:val="nil"/>
          <w:bottom w:val="nil"/>
          <w:right w:val="nil"/>
          <w:between w:val="nil"/>
        </w:pBdr>
        <w:spacing w:after="24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b/>
          <w:i/>
          <w:color w:val="000000"/>
          <w:sz w:val="21"/>
          <w:szCs w:val="21"/>
          <w:u w:val="single"/>
        </w:rPr>
        <w:t>ripetere le informazioni sottoindicate per ciascuna persona fisica individuata come titolare effettivo</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 Nome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Altro (specificare)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r w:rsidRPr="00BA56CE">
        <w:rPr>
          <w:rFonts w:ascii="Titillium" w:eastAsia="Titilium" w:hAnsi="Titillium" w:cs="Titilium"/>
          <w:b/>
          <w:i/>
          <w:color w:val="000000"/>
          <w:sz w:val="21"/>
          <w:szCs w:val="21"/>
        </w:rPr>
        <w:t>Opzione 3)</w:t>
      </w:r>
    </w:p>
    <w:p w:rsidR="00D11D81" w:rsidRPr="00BA56CE" w:rsidRDefault="003059A2">
      <w:pPr>
        <w:pBdr>
          <w:top w:val="nil"/>
          <w:left w:val="nil"/>
          <w:bottom w:val="nil"/>
          <w:right w:val="nil"/>
          <w:between w:val="nil"/>
        </w:pBdr>
        <w:spacing w:after="60"/>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non essere il titolare effettivo.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Il\I titolare\i effettivo\i dell’impresa è\sono di seguito indicato\i:</w:t>
      </w:r>
    </w:p>
    <w:p w:rsidR="00D11D81" w:rsidRPr="00BA56CE" w:rsidRDefault="003059A2">
      <w:pPr>
        <w:pBdr>
          <w:top w:val="nil"/>
          <w:left w:val="nil"/>
          <w:bottom w:val="nil"/>
          <w:right w:val="nil"/>
          <w:between w:val="nil"/>
        </w:pBdr>
        <w:spacing w:after="24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b/>
          <w:i/>
          <w:color w:val="000000"/>
          <w:sz w:val="21"/>
          <w:szCs w:val="21"/>
          <w:u w:val="single"/>
        </w:rPr>
        <w:t>ripetere le informazioni sottoindicate per ciascuna persona fisica individuata come titolare effettivo</w:t>
      </w:r>
      <w:r w:rsidRPr="00BA56CE">
        <w:rPr>
          <w:rFonts w:ascii="Titillium" w:eastAsia="Titilium" w:hAnsi="Titillium" w:cs="Titilium"/>
          <w:i/>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 Nome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lastRenderedPageBreak/>
        <w:t>□</w:t>
      </w:r>
      <w:r w:rsidRPr="00BA56CE">
        <w:rPr>
          <w:rFonts w:ascii="Titillium" w:eastAsia="Titilium" w:hAnsi="Titillium" w:cs="Titilium"/>
          <w:color w:val="000000"/>
          <w:sz w:val="21"/>
          <w:szCs w:val="21"/>
        </w:rPr>
        <w:t xml:space="preserve"> Altro (specificare)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4)</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w:t>
      </w:r>
      <w:r w:rsidRPr="00BA56CE">
        <w:rPr>
          <w:rFonts w:ascii="Titillium" w:eastAsia="Titilium" w:hAnsi="Titillium" w:cs="Titilium"/>
          <w:b/>
          <w:i/>
          <w:color w:val="000000"/>
          <w:sz w:val="21"/>
          <w:szCs w:val="21"/>
          <w:u w:val="single"/>
        </w:rPr>
        <w:t>ATTENZIONE: tale scelta è riservata ai soli casi in cui vi sia assenza di controllo o di partecipazioni rilevanti nell’impresa</w:t>
      </w:r>
      <w:r w:rsidRPr="00BA56CE">
        <w:rPr>
          <w:rFonts w:ascii="Titillium" w:eastAsia="Titilium" w:hAnsi="Titillium" w:cs="Titilium"/>
          <w:b/>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che non esiste un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 xml:space="preserve">impresa dal momento che (specificare la motivazione: impresa quotata/impresa ad azionariato diffuso/ecc) </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per cui i titolari effettivi sono individuati nelle </w:t>
      </w:r>
      <w:r w:rsidRPr="00BA56CE">
        <w:rPr>
          <w:rFonts w:ascii="Titillium" w:eastAsia="Titilium" w:hAnsi="Titillium" w:cs="Titilium"/>
          <w:b/>
          <w:color w:val="000000"/>
          <w:sz w:val="21"/>
          <w:szCs w:val="21"/>
        </w:rPr>
        <w:t xml:space="preserve">persone fisiche titolari di poteri di amministrazione o direzione dell’impresa </w:t>
      </w:r>
      <w:r w:rsidRPr="00BA56CE">
        <w:rPr>
          <w:rFonts w:ascii="Titillium" w:eastAsia="Titilium" w:hAnsi="Titillium" w:cs="Titilium"/>
          <w:color w:val="000000"/>
          <w:sz w:val="21"/>
          <w:szCs w:val="21"/>
        </w:rPr>
        <w:t>di seguito indicate:</w:t>
      </w:r>
    </w:p>
    <w:p w:rsidR="00D11D81" w:rsidRPr="00BA56CE" w:rsidRDefault="003059A2">
      <w:pPr>
        <w:pBdr>
          <w:top w:val="nil"/>
          <w:left w:val="nil"/>
          <w:bottom w:val="nil"/>
          <w:right w:val="nil"/>
          <w:between w:val="nil"/>
        </w:pBdr>
        <w:spacing w:after="24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i/>
          <w:color w:val="000000"/>
          <w:sz w:val="21"/>
          <w:szCs w:val="21"/>
          <w:u w:val="single"/>
        </w:rPr>
        <w:t>ripetere le informazioni sottoindicate per ciascuna persona fisica individuata come titolare effettivo, compreso il dichiarante laddove quest’ultimo sia individuabile quale titolare effettivo per effetto dell’assenza di controllo o di partecipazioni rilevanti</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 Nome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spacing w:after="240"/>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lastRenderedPageBreak/>
        <w:t>□</w:t>
      </w:r>
      <w:r w:rsidRPr="00BA56CE">
        <w:rPr>
          <w:rFonts w:ascii="Titillium" w:eastAsia="Titilium" w:hAnsi="Titillium" w:cs="Titilium"/>
          <w:color w:val="000000"/>
          <w:sz w:val="21"/>
          <w:szCs w:val="21"/>
        </w:rPr>
        <w:t xml:space="preserve"> Altro (specificare) </w:t>
      </w:r>
      <w:r w:rsidRPr="00BA56CE">
        <w:rPr>
          <w:rFonts w:ascii="Titillium" w:eastAsia="Cambria" w:hAnsi="Titillium" w:cs="Cambria"/>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Il/La sottoscritto/a dichiara che gli interessati al trattamento hanno preso visione dell’informativa rilasciata dal Titolare del trattamento ai sensi degli artt. 13 e 14 del Regolamento (UE) 679/2016 – GDPR – pubblicata nella sezione dedicata alla misura agevolativa sul sito istituzionale del Ministero e di essere informati che i dati personali conferiti sono prescritti come necessari dalle disposizioni vigenti ai fini dell’istruttoria del procedimento qui avviato e che a tale scopo saranno trattati, anche con strumenti informatici. Il mancato conferimento dei dati personali non consentirà il prosieguo dell'istruttoria. Ogni interessato, ai sensi degli artt. 15 e seguenti del GDPR, potrà avanzare richieste per l’esercizio dei propri diritti secondo le modalità indicate nella sopra richiamata informativa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 riferimento a tutti i soggetti sopra indicati, si allega alla presente: </w:t>
      </w:r>
    </w:p>
    <w:p w:rsidR="00D11D81" w:rsidRPr="00BA56CE" w:rsidRDefault="003059A2">
      <w:pPr>
        <w:numPr>
          <w:ilvl w:val="0"/>
          <w:numId w:val="10"/>
        </w:numPr>
        <w:pBdr>
          <w:top w:val="nil"/>
          <w:left w:val="nil"/>
          <w:bottom w:val="nil"/>
          <w:right w:val="nil"/>
          <w:between w:val="nil"/>
        </w:pBdr>
        <w:spacing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copia dei documenti di identità</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del rappresentante legale e dei titolari effettivi,</w:t>
      </w:r>
      <w:r w:rsidRPr="00BA56CE">
        <w:rPr>
          <w:rFonts w:ascii="Titillium" w:eastAsia="Titilium" w:hAnsi="Titillium" w:cs="Titilium"/>
          <w:color w:val="000000"/>
          <w:sz w:val="21"/>
          <w:szCs w:val="21"/>
        </w:rPr>
        <w:t xml:space="preserve"> i cui estremi sono stati riportati nella presente dichiarazione;</w:t>
      </w:r>
    </w:p>
    <w:p w:rsidR="00D11D81" w:rsidRPr="00BA56CE" w:rsidRDefault="003059A2">
      <w:pPr>
        <w:numPr>
          <w:ilvl w:val="0"/>
          <w:numId w:val="10"/>
        </w:numPr>
        <w:pBdr>
          <w:top w:val="nil"/>
          <w:left w:val="nil"/>
          <w:bottom w:val="nil"/>
          <w:right w:val="nil"/>
          <w:between w:val="nil"/>
        </w:pBdr>
        <w:spacing w:after="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copia dei documenti (tessera sanitaria, carta di identità elettronica) attestanti il rilascio del codice fiscale</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del rappresentante legale e dei titolari effettivi</w:t>
      </w:r>
      <w:r w:rsidRPr="00BA56CE">
        <w:rPr>
          <w:rFonts w:ascii="Titillium" w:eastAsia="Titilium" w:hAnsi="Titillium" w:cs="Titilium"/>
          <w:color w:val="000000"/>
          <w:sz w:val="21"/>
          <w:szCs w:val="21"/>
        </w:rPr>
        <w:t>.</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Luogo e data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b/>
      </w:r>
    </w:p>
    <w:p w:rsidR="00D11D81" w:rsidRPr="00BA56CE" w:rsidRDefault="003059A2">
      <w:pPr>
        <w:pBdr>
          <w:top w:val="nil"/>
          <w:left w:val="nil"/>
          <w:bottom w:val="nil"/>
          <w:right w:val="nil"/>
          <w:between w:val="nil"/>
        </w:pBdr>
        <w:spacing w:before="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Il rappresentante legale</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ISTRUZIONI PER L’IDENTIFICAZIONE DEL TITOLARE EFFETTIVO</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u w:val="single"/>
        </w:rPr>
      </w:pPr>
      <w:r w:rsidRPr="00BA56CE">
        <w:rPr>
          <w:rFonts w:ascii="Titillium" w:eastAsia="Titilium" w:hAnsi="Titillium" w:cs="Titilium"/>
          <w:b/>
          <w:color w:val="000000"/>
          <w:sz w:val="21"/>
          <w:szCs w:val="21"/>
          <w:u w:val="single"/>
        </w:rPr>
        <w:t>Definizione di titolare effettivo</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Art. 1 D.Lgs. 21 novembre 2007, n. 231</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(Definizioni)</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 «</w:t>
      </w:r>
      <w:r w:rsidRPr="00BA56CE">
        <w:rPr>
          <w:rFonts w:ascii="Titillium" w:eastAsia="Titilium" w:hAnsi="Titillium" w:cs="Titilium"/>
          <w:i/>
          <w:color w:val="000000"/>
          <w:sz w:val="21"/>
          <w:szCs w:val="21"/>
        </w:rPr>
        <w:t>titolare effettivo</w:t>
      </w:r>
      <w:r w:rsidRPr="00BA56CE">
        <w:rPr>
          <w:rFonts w:ascii="Titillium" w:eastAsia="Titilium" w:hAnsi="Titillium" w:cs="Titilium"/>
          <w:color w:val="000000"/>
          <w:sz w:val="21"/>
          <w:szCs w:val="21"/>
        </w:rPr>
        <w:t xml:space="preserve">»: la persona fisica per conto della quale è realizzata un'operazione o un'attività, </w:t>
      </w:r>
      <w:r w:rsidRPr="00BA56CE">
        <w:rPr>
          <w:rFonts w:ascii="Titillium" w:eastAsia="Titilium" w:hAnsi="Titillium" w:cs="Titilium"/>
          <w:color w:val="000000"/>
          <w:sz w:val="21"/>
          <w:szCs w:val="21"/>
          <w:u w:val="single"/>
        </w:rPr>
        <w:t xml:space="preserve">ovvero, </w:t>
      </w:r>
      <w:r w:rsidRPr="00BA56CE">
        <w:rPr>
          <w:rFonts w:ascii="Titillium" w:eastAsia="Titilium" w:hAnsi="Titillium" w:cs="Titilium"/>
          <w:b/>
          <w:color w:val="000000"/>
          <w:sz w:val="21"/>
          <w:szCs w:val="21"/>
          <w:u w:val="single"/>
        </w:rPr>
        <w:t>nel caso di entità giuridica,</w:t>
      </w:r>
      <w:r w:rsidRPr="00BA56CE">
        <w:rPr>
          <w:rFonts w:ascii="Titillium" w:eastAsia="Titilium" w:hAnsi="Titillium" w:cs="Titilium"/>
          <w:color w:val="000000"/>
          <w:sz w:val="21"/>
          <w:szCs w:val="21"/>
          <w:u w:val="single"/>
        </w:rPr>
        <w:t xml:space="preserve"> la persona o le persone fisiche che, in ultima istanza, possiedono o controllano tale entità, ovvero ne risultano beneficiari secondo i criteri di cui all’Allegato tecnico al presente decreto</w:t>
      </w:r>
      <w:r w:rsidRPr="00BA56CE">
        <w:rPr>
          <w:rFonts w:ascii="Titillium" w:eastAsia="Titilium" w:hAnsi="Titillium" w:cs="Titilium"/>
          <w:color w:val="000000"/>
          <w:sz w:val="21"/>
          <w:szCs w:val="21"/>
        </w:rPr>
        <w:t>;</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Allegato tecnico al D.Lgs. 21 novembre 2007, n. 231</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Art. 2</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1. Per titolare effettivo s'intende:</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 in caso di società:</w:t>
      </w:r>
    </w:p>
    <w:p w:rsidR="00D11D81" w:rsidRPr="00BA56CE" w:rsidRDefault="003059A2">
      <w:pPr>
        <w:numPr>
          <w:ilvl w:val="0"/>
          <w:numId w:val="1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rsidR="00D11D81" w:rsidRPr="00BA56CE" w:rsidRDefault="003059A2">
      <w:pPr>
        <w:numPr>
          <w:ilvl w:val="0"/>
          <w:numId w:val="1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esercitano in altro modo il controllo sulla direzione di un'entità giuridica.</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u w:val="single"/>
        </w:rPr>
      </w:pPr>
      <w:r w:rsidRPr="00BA56CE">
        <w:rPr>
          <w:rFonts w:ascii="Titillium" w:eastAsia="Titilium" w:hAnsi="Titillium" w:cs="Titilium"/>
          <w:b/>
          <w:color w:val="000000"/>
          <w:sz w:val="21"/>
          <w:szCs w:val="21"/>
          <w:u w:val="single"/>
        </w:rPr>
        <w:t>Modalità di individuazione del titolare effettivo nei casi di società di capitali o di persone</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1. Per titolare effettivo, IN CASO DI SOCIETA’ DI CAPITALI, si intende:</w:t>
      </w:r>
    </w:p>
    <w:p w:rsidR="00D11D81" w:rsidRPr="00BA56CE" w:rsidRDefault="003059A2">
      <w:pPr>
        <w:numPr>
          <w:ilvl w:val="0"/>
          <w:numId w:val="3"/>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BA56CE">
        <w:rPr>
          <w:rFonts w:ascii="Titillium" w:eastAsia="Titilium" w:hAnsi="Titillium" w:cs="Titilium"/>
          <w:b/>
          <w:color w:val="000000"/>
          <w:sz w:val="21"/>
          <w:szCs w:val="21"/>
        </w:rPr>
        <w:t xml:space="preserve">; </w:t>
      </w:r>
      <w:r w:rsidRPr="00BA56CE">
        <w:rPr>
          <w:rFonts w:ascii="Titillium" w:eastAsia="Titilium" w:hAnsi="Titillium" w:cs="Titilium"/>
          <w:b/>
          <w:color w:val="000000"/>
          <w:sz w:val="21"/>
          <w:szCs w:val="21"/>
          <w:u w:val="single"/>
        </w:rPr>
        <w:t>tale criterio si ritiene soddisfatto ove la percentuale corrisponda al 25 per cento più uno di partecipazione al capitale sociale</w:t>
      </w:r>
      <w:r w:rsidRPr="00BA56CE">
        <w:rPr>
          <w:rFonts w:ascii="Titillium" w:eastAsia="Titilium" w:hAnsi="Titillium" w:cs="Titilium"/>
          <w:b/>
          <w:color w:val="000000"/>
          <w:sz w:val="21"/>
          <w:szCs w:val="21"/>
        </w:rPr>
        <w:t>;</w:t>
      </w:r>
    </w:p>
    <w:p w:rsidR="00D11D81" w:rsidRPr="00BA56CE" w:rsidRDefault="003059A2">
      <w:pPr>
        <w:numPr>
          <w:ilvl w:val="0"/>
          <w:numId w:val="3"/>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la persona fisica o le persone fisiche che esercitano in altro modo il controllo sulla direzione di un'entità giuridica.</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Nel caso in cui dall’assetto proprietario non fosse possibile individuare, in maniera univoca, la persona </w:t>
      </w:r>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 xml:space="preserve">sica o le persone </w:t>
      </w:r>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 xml:space="preserve">siche cui </w:t>
      </w:r>
      <w:r w:rsidRPr="00BA56CE">
        <w:rPr>
          <w:rFonts w:ascii="Titillium" w:eastAsia="Titilium" w:hAnsi="Titillium" w:cs="Titillium"/>
          <w:color w:val="000000"/>
          <w:sz w:val="21"/>
          <w:szCs w:val="21"/>
        </w:rPr>
        <w:t>è</w:t>
      </w:r>
      <w:r w:rsidRPr="00BA56CE">
        <w:rPr>
          <w:rFonts w:ascii="Titillium" w:eastAsia="Titilium" w:hAnsi="Titillium" w:cs="Titilium"/>
          <w:color w:val="000000"/>
          <w:sz w:val="21"/>
          <w:szCs w:val="21"/>
        </w:rPr>
        <w:t xml:space="preserve"> attribuibile la propriet</w:t>
      </w:r>
      <w:r w:rsidRPr="00BA56CE">
        <w:rPr>
          <w:rFonts w:ascii="Titillium" w:eastAsia="Titilium" w:hAnsi="Titillium" w:cs="Titillium"/>
          <w:color w:val="000000"/>
          <w:sz w:val="21"/>
          <w:szCs w:val="21"/>
        </w:rPr>
        <w:t>à</w:t>
      </w:r>
      <w:r w:rsidRPr="00BA56CE">
        <w:rPr>
          <w:rFonts w:ascii="Titillium" w:eastAsia="Titilium" w:hAnsi="Titillium" w:cs="Titilium"/>
          <w:color w:val="000000"/>
          <w:sz w:val="21"/>
          <w:szCs w:val="21"/>
        </w:rPr>
        <w:t xml:space="preserve"> diretta o indiretta dell</w:t>
      </w:r>
      <w:r w:rsidRPr="00BA56CE">
        <w:rPr>
          <w:rFonts w:ascii="Titillium" w:eastAsia="Titilium" w:hAnsi="Titillium" w:cs="Titillium"/>
          <w:color w:val="000000"/>
          <w:sz w:val="21"/>
          <w:szCs w:val="21"/>
        </w:rPr>
        <w:t>’</w:t>
      </w:r>
      <w:r w:rsidRPr="00BA56CE">
        <w:rPr>
          <w:rFonts w:ascii="Titillium" w:eastAsia="Titilium" w:hAnsi="Titillium" w:cs="Titilium"/>
          <w:color w:val="000000"/>
          <w:sz w:val="21"/>
          <w:szCs w:val="21"/>
        </w:rPr>
        <w:t>ente, il titolare e</w:t>
      </w:r>
      <w:r w:rsidRPr="00BA56CE">
        <w:rPr>
          <w:rFonts w:ascii="Courier New" w:eastAsia="Titilium" w:hAnsi="Courier New" w:cs="Courier New"/>
          <w:color w:val="000000"/>
          <w:sz w:val="21"/>
          <w:szCs w:val="21"/>
        </w:rPr>
        <w:t>ﬀ</w:t>
      </w:r>
      <w:r w:rsidRPr="00BA56CE">
        <w:rPr>
          <w:rFonts w:ascii="Titillium" w:eastAsia="Titilium" w:hAnsi="Titillium" w:cs="Titilium"/>
          <w:color w:val="000000"/>
          <w:sz w:val="21"/>
          <w:szCs w:val="21"/>
        </w:rPr>
        <w:t xml:space="preserve">ettivo coincide con la persona o le persone </w:t>
      </w:r>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 xml:space="preserve">siche cui, in ultima istanza, è attribuibile il controllo dell’ente stesso in forza: </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del controllo della maggioranza dei voti esercitabili in assemblea ordinaria; </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del controllo di voti su</w:t>
      </w:r>
      <w:r w:rsidRPr="00BA56CE">
        <w:rPr>
          <w:rFonts w:ascii="Courier New" w:eastAsia="Titilium" w:hAnsi="Courier New" w:cs="Courier New"/>
          <w:color w:val="000000"/>
          <w:sz w:val="21"/>
          <w:szCs w:val="21"/>
        </w:rPr>
        <w:t>ﬃ</w:t>
      </w:r>
      <w:r w:rsidRPr="00BA56CE">
        <w:rPr>
          <w:rFonts w:ascii="Titillium" w:eastAsia="Titilium" w:hAnsi="Titillium" w:cs="Titilium"/>
          <w:color w:val="000000"/>
          <w:sz w:val="21"/>
          <w:szCs w:val="21"/>
        </w:rPr>
        <w:t>cienti per esercitare un</w:t>
      </w:r>
      <w:r w:rsidRPr="00BA56CE">
        <w:rPr>
          <w:rFonts w:ascii="Titillium" w:eastAsia="Titilium" w:hAnsi="Titillium" w:cs="Titillium"/>
          <w:color w:val="000000"/>
          <w:sz w:val="21"/>
          <w:szCs w:val="21"/>
        </w:rPr>
        <w:t>’</w:t>
      </w:r>
      <w:r w:rsidRPr="00BA56CE">
        <w:rPr>
          <w:rFonts w:ascii="Titillium" w:eastAsia="Titilium" w:hAnsi="Titillium" w:cs="Titilium"/>
          <w:color w:val="000000"/>
          <w:sz w:val="21"/>
          <w:szCs w:val="21"/>
        </w:rPr>
        <w:t>in</w:t>
      </w:r>
      <w:r w:rsidRPr="00BA56CE">
        <w:rPr>
          <w:rFonts w:ascii="Courier New" w:eastAsia="Titilium" w:hAnsi="Courier New" w:cs="Courier New"/>
          <w:color w:val="000000"/>
          <w:sz w:val="21"/>
          <w:szCs w:val="21"/>
        </w:rPr>
        <w:t>ﬂ</w:t>
      </w:r>
      <w:r w:rsidRPr="00BA56CE">
        <w:rPr>
          <w:rFonts w:ascii="Titillium" w:eastAsia="Titilium" w:hAnsi="Titillium" w:cs="Titilium"/>
          <w:color w:val="000000"/>
          <w:sz w:val="21"/>
          <w:szCs w:val="21"/>
        </w:rPr>
        <w:t>uenza dominante in assemblea ordinaria;</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dell’esistenza di particolari vincoli contrattuali che consentano di esercitare un’in</w:t>
      </w:r>
      <w:r w:rsidRPr="00BA56CE">
        <w:rPr>
          <w:rFonts w:ascii="Courier New" w:eastAsia="Titilium" w:hAnsi="Courier New" w:cs="Courier New"/>
          <w:color w:val="000000"/>
          <w:sz w:val="21"/>
          <w:szCs w:val="21"/>
        </w:rPr>
        <w:t>ﬂ</w:t>
      </w:r>
      <w:r w:rsidRPr="00BA56CE">
        <w:rPr>
          <w:rFonts w:ascii="Titillium" w:eastAsia="Titilium" w:hAnsi="Titillium" w:cs="Titilium"/>
          <w:color w:val="000000"/>
          <w:sz w:val="21"/>
          <w:szCs w:val="21"/>
        </w:rPr>
        <w:t>uenza dominante.</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Qualora l’applicazione dei criteri di cui sopra non consenta ancora di individuare univocamente uno o più titolari e</w:t>
      </w:r>
      <w:r w:rsidRPr="00BA56CE">
        <w:rPr>
          <w:rFonts w:ascii="Courier New" w:eastAsia="Titilium" w:hAnsi="Courier New" w:cs="Courier New"/>
          <w:color w:val="000000"/>
          <w:sz w:val="21"/>
          <w:szCs w:val="21"/>
        </w:rPr>
        <w:t>ﬀ</w:t>
      </w:r>
      <w:r w:rsidRPr="00BA56CE">
        <w:rPr>
          <w:rFonts w:ascii="Titillium" w:eastAsia="Titilium" w:hAnsi="Titillium" w:cs="Titilium"/>
          <w:color w:val="000000"/>
          <w:sz w:val="21"/>
          <w:szCs w:val="21"/>
        </w:rPr>
        <w:t xml:space="preserve">ettivi, </w:t>
      </w:r>
      <w:r w:rsidRPr="00BA56CE">
        <w:rPr>
          <w:rFonts w:ascii="Titillium" w:eastAsia="Titilium" w:hAnsi="Titillium" w:cs="Titilium"/>
          <w:color w:val="000000"/>
          <w:sz w:val="21"/>
          <w:szCs w:val="21"/>
          <w:u w:val="single"/>
        </w:rPr>
        <w:t>il titolare e</w:t>
      </w:r>
      <w:r w:rsidRPr="00BA56CE">
        <w:rPr>
          <w:rFonts w:ascii="Courier New" w:eastAsia="Titilium" w:hAnsi="Courier New" w:cs="Courier New"/>
          <w:color w:val="000000"/>
          <w:sz w:val="21"/>
          <w:szCs w:val="21"/>
          <w:u w:val="single"/>
        </w:rPr>
        <w:t>ﬀ</w:t>
      </w:r>
      <w:r w:rsidRPr="00BA56CE">
        <w:rPr>
          <w:rFonts w:ascii="Titillium" w:eastAsia="Titilium" w:hAnsi="Titillium" w:cs="Titilium"/>
          <w:color w:val="000000"/>
          <w:sz w:val="21"/>
          <w:szCs w:val="21"/>
          <w:u w:val="single"/>
        </w:rPr>
        <w:t xml:space="preserve">ettivo coincide con la persona o le persone </w:t>
      </w:r>
      <w:r w:rsidRPr="00BA56CE">
        <w:rPr>
          <w:rFonts w:ascii="Courier New" w:eastAsia="Titilium" w:hAnsi="Courier New" w:cs="Courier New"/>
          <w:color w:val="000000"/>
          <w:sz w:val="21"/>
          <w:szCs w:val="21"/>
          <w:u w:val="single"/>
        </w:rPr>
        <w:t>ﬁ</w:t>
      </w:r>
      <w:r w:rsidRPr="00BA56CE">
        <w:rPr>
          <w:rFonts w:ascii="Titillium" w:eastAsia="Titilium" w:hAnsi="Titillium" w:cs="Titilium"/>
          <w:color w:val="000000"/>
          <w:sz w:val="21"/>
          <w:szCs w:val="21"/>
          <w:u w:val="single"/>
        </w:rPr>
        <w:t>siche titolari di poteri di amministrazione o direzione della societ</w:t>
      </w:r>
      <w:r w:rsidRPr="00BA56CE">
        <w:rPr>
          <w:rFonts w:ascii="Titillium" w:eastAsia="Titilium" w:hAnsi="Titillium" w:cs="Titillium"/>
          <w:color w:val="000000"/>
          <w:sz w:val="21"/>
          <w:szCs w:val="21"/>
          <w:u w:val="single"/>
        </w:rPr>
        <w:t>à</w:t>
      </w:r>
      <w:r w:rsidRPr="00BA56CE">
        <w:rPr>
          <w:rFonts w:ascii="Titillium" w:eastAsia="Titilium" w:hAnsi="Titillium" w:cs="Titilium"/>
          <w:color w:val="000000"/>
          <w:sz w:val="21"/>
          <w:szCs w:val="21"/>
        </w:rPr>
        <w:t>.</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2. Per titolare effettivo, IN CASO DI SOCIETA’ DI PERSONE, si intende:</w:t>
      </w:r>
    </w:p>
    <w:p w:rsidR="00D11D81" w:rsidRPr="00BA56CE" w:rsidRDefault="003059A2">
      <w:pPr>
        <w:numPr>
          <w:ilvl w:val="0"/>
          <w:numId w:val="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u w:val="single"/>
        </w:rPr>
        <w:t>la persona fisica che ha conferito nel capitale importi superiori al 25% del capitale sottoscritto</w:t>
      </w:r>
      <w:r w:rsidRPr="00BA56CE">
        <w:rPr>
          <w:rFonts w:ascii="Titillium" w:eastAsia="Titilium" w:hAnsi="Titillium" w:cs="Titilium"/>
          <w:color w:val="000000"/>
          <w:sz w:val="21"/>
          <w:szCs w:val="21"/>
        </w:rPr>
        <w:t xml:space="preserve"> (ex articoli 2253, 2295, 2315 c.c.) oppure, nei casi di ripartizione di utili in modalità non proporzionali ai conferimenti, indipendentemente dalla quota conferita, </w:t>
      </w:r>
      <w:r w:rsidRPr="00BA56CE">
        <w:rPr>
          <w:rFonts w:ascii="Titillium" w:eastAsia="Titilium" w:hAnsi="Titillium" w:cs="Titilium"/>
          <w:b/>
          <w:color w:val="000000"/>
          <w:sz w:val="21"/>
          <w:szCs w:val="21"/>
          <w:u w:val="single"/>
        </w:rPr>
        <w:t>ha diritto a una parte degli utili o alle perdite in misura superiore al 25%</w:t>
      </w:r>
      <w:r w:rsidRPr="00BA56CE">
        <w:rPr>
          <w:rFonts w:ascii="Titillium" w:eastAsia="Titilium" w:hAnsi="Titillium" w:cs="Titilium"/>
          <w:color w:val="000000"/>
          <w:sz w:val="21"/>
          <w:szCs w:val="21"/>
        </w:rPr>
        <w:t xml:space="preserve"> (ex art. 2263, 2295, 2315 c.c.);</w:t>
      </w:r>
    </w:p>
    <w:p w:rsidR="00D11D81" w:rsidRPr="00BA56CE" w:rsidRDefault="003059A2">
      <w:pPr>
        <w:numPr>
          <w:ilvl w:val="0"/>
          <w:numId w:val="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sectPr w:rsidR="00D11D81" w:rsidRPr="00BA56CE">
      <w:headerReference w:type="even" r:id="rId8"/>
      <w:headerReference w:type="default" r:id="rId9"/>
      <w:footerReference w:type="even" r:id="rId10"/>
      <w:footerReference w:type="default" r:id="rId11"/>
      <w:headerReference w:type="first" r:id="rId12"/>
      <w:footerReference w:type="first" r:id="rId13"/>
      <w:pgSz w:w="11906" w:h="16838"/>
      <w:pgMar w:top="2010" w:right="1134" w:bottom="1134" w:left="1134" w:header="709" w:footer="74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A3E" w:rsidRDefault="00706A3E">
      <w:pPr>
        <w:spacing w:before="0" w:after="0" w:line="240" w:lineRule="auto"/>
        <w:ind w:left="0" w:hanging="2"/>
      </w:pPr>
      <w:r>
        <w:separator/>
      </w:r>
    </w:p>
  </w:endnote>
  <w:endnote w:type="continuationSeparator" w:id="0">
    <w:p w:rsidR="00706A3E" w:rsidRDefault="00706A3E">
      <w:pPr>
        <w:spacing w:before="0"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tillium">
    <w:altName w:val="Calibri"/>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ind w:left="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spacing w:before="0" w:after="0" w:line="240" w:lineRule="auto"/>
      <w:ind w:left="0" w:hanging="2"/>
      <w:jc w:val="right"/>
      <w:rPr>
        <w:color w:val="000000"/>
      </w:rPr>
    </w:pPr>
  </w:p>
  <w:p w:rsidR="00D11D81" w:rsidRDefault="003059A2">
    <w:pPr>
      <w:pBdr>
        <w:top w:val="nil"/>
        <w:left w:val="nil"/>
        <w:bottom w:val="nil"/>
        <w:right w:val="nil"/>
        <w:between w:val="nil"/>
      </w:pBdr>
      <w:spacing w:before="0" w:after="0" w:line="240" w:lineRule="auto"/>
      <w:ind w:left="0" w:hanging="2"/>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424F97">
      <w:rPr>
        <w:noProof/>
        <w:color w:val="000000"/>
      </w:rPr>
      <w:t>18</w:t>
    </w:r>
    <w:r>
      <w:rPr>
        <w:color w:val="000000"/>
      </w:rPr>
      <w:fldChar w:fldCharType="end"/>
    </w:r>
    <w:r>
      <w:rPr>
        <w:color w:val="000000"/>
      </w:rPr>
      <w:t xml:space="preserve"> di </w:t>
    </w:r>
    <w:r>
      <w:rPr>
        <w:color w:val="000000"/>
      </w:rPr>
      <w:fldChar w:fldCharType="begin"/>
    </w:r>
    <w:r>
      <w:rPr>
        <w:color w:val="000000"/>
      </w:rPr>
      <w:instrText>NUMPAGES</w:instrText>
    </w:r>
    <w:r>
      <w:rPr>
        <w:color w:val="000000"/>
      </w:rPr>
      <w:fldChar w:fldCharType="separate"/>
    </w:r>
    <w:r w:rsidR="00424F97">
      <w:rPr>
        <w:noProof/>
        <w:color w:val="000000"/>
      </w:rPr>
      <w:t>18</w:t>
    </w:r>
    <w:r>
      <w:rPr>
        <w:color w:val="00000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widowControl w:val="0"/>
      <w:pBdr>
        <w:top w:val="nil"/>
        <w:left w:val="nil"/>
        <w:bottom w:val="nil"/>
        <w:right w:val="nil"/>
        <w:between w:val="nil"/>
      </w:pBdr>
      <w:spacing w:before="0" w:after="0" w:line="276" w:lineRule="auto"/>
      <w:ind w:left="0" w:hanging="2"/>
      <w:jc w:val="left"/>
      <w:rPr>
        <w:color w:val="000000"/>
      </w:rPr>
    </w:pPr>
  </w:p>
  <w:tbl>
    <w:tblPr>
      <w:tblStyle w:val="a4"/>
      <w:tblW w:w="9630" w:type="dxa"/>
      <w:tblInd w:w="-108" w:type="dxa"/>
      <w:tblLayout w:type="fixed"/>
      <w:tblLook w:val="0000" w:firstRow="0" w:lastRow="0" w:firstColumn="0" w:lastColumn="0" w:noHBand="0" w:noVBand="0"/>
    </w:tblPr>
    <w:tblGrid>
      <w:gridCol w:w="3210"/>
      <w:gridCol w:w="3210"/>
      <w:gridCol w:w="3210"/>
    </w:tblGrid>
    <w:tr w:rsidR="00D11D81">
      <w:trPr>
        <w:trHeight w:val="300"/>
      </w:trPr>
      <w:tc>
        <w:tcPr>
          <w:tcW w:w="3210" w:type="dxa"/>
        </w:tcPr>
        <w:p w:rsidR="00D11D81" w:rsidRDefault="00D11D81">
          <w:pPr>
            <w:pBdr>
              <w:top w:val="nil"/>
              <w:left w:val="nil"/>
              <w:bottom w:val="nil"/>
              <w:right w:val="nil"/>
              <w:between w:val="nil"/>
            </w:pBdr>
            <w:ind w:left="0" w:hanging="2"/>
            <w:jc w:val="left"/>
            <w:rPr>
              <w:color w:val="000000"/>
            </w:rPr>
          </w:pPr>
        </w:p>
      </w:tc>
      <w:tc>
        <w:tcPr>
          <w:tcW w:w="3210" w:type="dxa"/>
        </w:tcPr>
        <w:p w:rsidR="00D11D81" w:rsidRDefault="00D11D81">
          <w:pPr>
            <w:pBdr>
              <w:top w:val="nil"/>
              <w:left w:val="nil"/>
              <w:bottom w:val="nil"/>
              <w:right w:val="nil"/>
              <w:between w:val="nil"/>
            </w:pBdr>
            <w:ind w:left="0" w:hanging="2"/>
            <w:jc w:val="center"/>
            <w:rPr>
              <w:color w:val="000000"/>
            </w:rPr>
          </w:pPr>
        </w:p>
      </w:tc>
      <w:tc>
        <w:tcPr>
          <w:tcW w:w="3210" w:type="dxa"/>
        </w:tcPr>
        <w:p w:rsidR="00D11D81" w:rsidRDefault="00D11D81">
          <w:pPr>
            <w:pBdr>
              <w:top w:val="nil"/>
              <w:left w:val="nil"/>
              <w:bottom w:val="nil"/>
              <w:right w:val="nil"/>
              <w:between w:val="nil"/>
            </w:pBdr>
            <w:ind w:left="0" w:right="-115" w:hanging="2"/>
            <w:jc w:val="right"/>
            <w:rPr>
              <w:color w:val="000000"/>
            </w:rPr>
          </w:pPr>
        </w:p>
      </w:tc>
    </w:tr>
  </w:tbl>
  <w:p w:rsidR="00D11D81" w:rsidRDefault="00D11D81">
    <w:pPr>
      <w:pBdr>
        <w:top w:val="nil"/>
        <w:left w:val="nil"/>
        <w:bottom w:val="nil"/>
        <w:right w:val="nil"/>
        <w:between w:val="nil"/>
      </w:pBdr>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A3E" w:rsidRDefault="00706A3E">
      <w:pPr>
        <w:spacing w:before="0" w:after="0" w:line="240" w:lineRule="auto"/>
        <w:ind w:left="0" w:hanging="2"/>
      </w:pPr>
      <w:r>
        <w:separator/>
      </w:r>
    </w:p>
  </w:footnote>
  <w:footnote w:type="continuationSeparator" w:id="0">
    <w:p w:rsidR="00706A3E" w:rsidRDefault="00706A3E">
      <w:pPr>
        <w:spacing w:before="0" w:after="0" w:line="240" w:lineRule="auto"/>
        <w:ind w:left="0" w:hanging="2"/>
      </w:pPr>
      <w:r>
        <w:continuationSeparator/>
      </w:r>
    </w:p>
  </w:footnote>
  <w:footnote w:id="1">
    <w:p w:rsidR="00D11D81" w:rsidRDefault="003059A2">
      <w:pPr>
        <w:pBdr>
          <w:top w:val="nil"/>
          <w:left w:val="nil"/>
          <w:bottom w:val="nil"/>
          <w:right w:val="nil"/>
          <w:between w:val="nil"/>
        </w:pBdr>
        <w:spacing w:before="0" w:after="0"/>
        <w:ind w:left="0" w:hanging="2"/>
        <w:rPr>
          <w:color w:val="000000"/>
          <w:sz w:val="18"/>
          <w:szCs w:val="18"/>
        </w:rPr>
      </w:pPr>
      <w:r>
        <w:rPr>
          <w:vertAlign w:val="superscript"/>
        </w:rPr>
        <w:footnoteRef/>
      </w:r>
      <w:r>
        <w:rPr>
          <w:rFonts w:ascii="Georgia" w:eastAsia="Georgia" w:hAnsi="Georgia" w:cs="Georgia"/>
          <w:b/>
          <w:color w:val="000000"/>
          <w:sz w:val="20"/>
          <w:szCs w:val="20"/>
        </w:rPr>
        <w:t xml:space="preserve"> </w:t>
      </w:r>
      <w:r>
        <w:rPr>
          <w:color w:val="000000"/>
          <w:sz w:val="18"/>
          <w:szCs w:val="18"/>
        </w:rPr>
        <w:t xml:space="preserve">Cancellare tutte le dichiarazioni o dizioni/parti delle dichiarazioni che non interessano. </w:t>
      </w:r>
    </w:p>
    <w:p w:rsidR="00D11D81" w:rsidRDefault="00D11D81">
      <w:pPr>
        <w:numPr>
          <w:ilvl w:val="0"/>
          <w:numId w:val="9"/>
        </w:numPr>
        <w:pBdr>
          <w:top w:val="nil"/>
          <w:left w:val="nil"/>
          <w:bottom w:val="nil"/>
          <w:right w:val="nil"/>
          <w:between w:val="nil"/>
        </w:pBdr>
        <w:spacing w:before="0" w:after="0"/>
        <w:ind w:left="0" w:hanging="2"/>
        <w:rPr>
          <w:color w:val="000000"/>
          <w:sz w:val="18"/>
          <w:szCs w:val="18"/>
        </w:rPr>
      </w:pPr>
    </w:p>
  </w:footnote>
  <w:footnote w:id="2">
    <w:p w:rsidR="00D11D81" w:rsidRDefault="003059A2">
      <w:pPr>
        <w:pBdr>
          <w:top w:val="nil"/>
          <w:left w:val="nil"/>
          <w:bottom w:val="nil"/>
          <w:right w:val="nil"/>
          <w:between w:val="nil"/>
        </w:pBdr>
        <w:spacing w:before="0" w:after="0"/>
        <w:ind w:left="0" w:hanging="2"/>
        <w:rPr>
          <w:color w:val="000000"/>
          <w:sz w:val="18"/>
          <w:szCs w:val="18"/>
        </w:rPr>
      </w:pPr>
      <w:r>
        <w:rPr>
          <w:vertAlign w:val="superscript"/>
        </w:rPr>
        <w:footnoteRef/>
      </w:r>
      <w:r>
        <w:rPr>
          <w:rFonts w:ascii="Georgia" w:eastAsia="Georgia" w:hAnsi="Georgia" w:cs="Georgia"/>
          <w:b/>
          <w:color w:val="000000"/>
          <w:sz w:val="20"/>
          <w:szCs w:val="20"/>
        </w:rPr>
        <w:t xml:space="preserve"> </w:t>
      </w:r>
      <w:r>
        <w:rPr>
          <w:color w:val="000000"/>
          <w:sz w:val="18"/>
          <w:szCs w:val="18"/>
        </w:rPr>
        <w:t xml:space="preserve">il Fornitore dovrà produrre, su richiesta del Committente, apposita dichiarazione contenente le informazioni relative alle assunzioni effettuate durante il periodo di vigenza del Contratto con indicazione del numero di persone assunte, relativa età e genere. Ai sensi dell’art. 47, comma 6 del Decreto Legge 31 maggio 2021, numero 77, la violazione di tale obbligo comporta l’applicazione delle penali così come stabilite nello Schema di Contratto.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tabs>
        <w:tab w:val="center" w:pos="4819"/>
        <w:tab w:val="right" w:pos="9638"/>
      </w:tabs>
      <w:spacing w:before="0"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widowControl w:val="0"/>
      <w:pBdr>
        <w:top w:val="nil"/>
        <w:left w:val="nil"/>
        <w:bottom w:val="nil"/>
        <w:right w:val="nil"/>
        <w:between w:val="nil"/>
      </w:pBdr>
      <w:spacing w:before="0" w:after="0" w:line="276" w:lineRule="auto"/>
      <w:ind w:left="0" w:hanging="2"/>
      <w:jc w:val="left"/>
      <w:rPr>
        <w:color w:val="000000"/>
        <w:sz w:val="18"/>
        <w:szCs w:val="18"/>
      </w:rPr>
    </w:pPr>
  </w:p>
  <w:tbl>
    <w:tblPr>
      <w:tblStyle w:val="a3"/>
      <w:tblW w:w="967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83"/>
      <w:gridCol w:w="3891"/>
    </w:tblGrid>
    <w:tr w:rsidR="00D11D81">
      <w:trPr>
        <w:trHeight w:val="990"/>
      </w:trPr>
      <w:tc>
        <w:tcPr>
          <w:tcW w:w="5783" w:type="dxa"/>
          <w:vAlign w:val="center"/>
        </w:tcPr>
        <w:p w:rsidR="00D11D81" w:rsidRDefault="003059A2">
          <w:pPr>
            <w:keepNext/>
            <w:pBdr>
              <w:top w:val="nil"/>
              <w:left w:val="nil"/>
              <w:bottom w:val="nil"/>
              <w:right w:val="nil"/>
              <w:between w:val="nil"/>
            </w:pBdr>
            <w:spacing w:after="0" w:line="276" w:lineRule="auto"/>
            <w:ind w:left="0" w:hanging="2"/>
            <w:rPr>
              <w:color w:val="000000"/>
            </w:rPr>
          </w:pPr>
          <w:bookmarkStart w:id="5" w:name="_heading=h.1t3h5sf" w:colFirst="0" w:colLast="0"/>
          <w:bookmarkEnd w:id="5"/>
          <w:r>
            <w:rPr>
              <w:b/>
              <w:noProof/>
            </w:rPr>
            <w:drawing>
              <wp:inline distT="114300" distB="114300" distL="114300" distR="114300">
                <wp:extent cx="3575648" cy="373575"/>
                <wp:effectExtent l="0" t="0" r="0" b="0"/>
                <wp:docPr id="15395610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575648" cy="373575"/>
                        </a:xfrm>
                        <a:prstGeom prst="rect">
                          <a:avLst/>
                        </a:prstGeom>
                        <a:ln/>
                      </pic:spPr>
                    </pic:pic>
                  </a:graphicData>
                </a:graphic>
              </wp:inline>
            </w:drawing>
          </w:r>
        </w:p>
      </w:tc>
      <w:tc>
        <w:tcPr>
          <w:tcW w:w="3891" w:type="dxa"/>
          <w:vAlign w:val="center"/>
        </w:tcPr>
        <w:p w:rsidR="00D11D81" w:rsidRDefault="003059A2">
          <w:pPr>
            <w:pBdr>
              <w:top w:val="nil"/>
              <w:left w:val="nil"/>
              <w:bottom w:val="nil"/>
              <w:right w:val="nil"/>
              <w:between w:val="nil"/>
            </w:pBdr>
            <w:tabs>
              <w:tab w:val="center" w:pos="4819"/>
              <w:tab w:val="right" w:pos="9638"/>
            </w:tabs>
            <w:spacing w:before="0" w:after="0" w:line="240" w:lineRule="auto"/>
            <w:ind w:left="0" w:hanging="2"/>
            <w:jc w:val="center"/>
            <w:rPr>
              <w:color w:val="000000"/>
              <w:sz w:val="20"/>
              <w:szCs w:val="20"/>
            </w:rPr>
          </w:pPr>
          <w:r>
            <w:rPr>
              <w:b/>
              <w:color w:val="000000"/>
              <w:sz w:val="20"/>
              <w:szCs w:val="20"/>
            </w:rPr>
            <w:t>Allegato 1 – Domanda di partecipazione e dichiarazioni amministrative</w:t>
          </w:r>
        </w:p>
      </w:tc>
    </w:tr>
  </w:tbl>
  <w:p w:rsidR="00D11D81" w:rsidRDefault="00D11D81">
    <w:pPr>
      <w:pBdr>
        <w:top w:val="nil"/>
        <w:left w:val="nil"/>
        <w:bottom w:val="nil"/>
        <w:right w:val="nil"/>
        <w:between w:val="nil"/>
      </w:pBdr>
      <w:spacing w:before="0" w:after="0" w:line="240" w:lineRule="auto"/>
      <w:ind w:left="0" w:hanging="2"/>
      <w:jc w:val="left"/>
      <w:rPr>
        <w:color w:val="000000"/>
        <w:sz w:val="20"/>
        <w:szCs w:val="20"/>
      </w:rPr>
    </w:pPr>
  </w:p>
  <w:p w:rsidR="00D11D81" w:rsidRDefault="00D11D81">
    <w:pPr>
      <w:pBdr>
        <w:top w:val="nil"/>
        <w:left w:val="nil"/>
        <w:bottom w:val="nil"/>
        <w:right w:val="nil"/>
        <w:between w:val="nil"/>
      </w:pBdr>
      <w:spacing w:before="0" w:after="0" w:line="240" w:lineRule="auto"/>
      <w:ind w:left="0" w:hanging="2"/>
      <w:jc w:val="left"/>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3059A2">
    <w:pPr>
      <w:tabs>
        <w:tab w:val="center" w:pos="4819"/>
        <w:tab w:val="right" w:pos="9638"/>
      </w:tabs>
      <w:ind w:left="0" w:hanging="2"/>
      <w:rPr>
        <w:color w:val="000000"/>
      </w:rPr>
    </w:pPr>
    <w:r>
      <w:rPr>
        <w:rFonts w:ascii="Calibri" w:eastAsia="Calibri" w:hAnsi="Calibri" w:cs="Calibri"/>
        <w:noProof/>
        <w:sz w:val="22"/>
        <w:szCs w:val="22"/>
      </w:rPr>
      <w:drawing>
        <wp:anchor distT="0" distB="0" distL="114300" distR="114300" simplePos="0" relativeHeight="251658240" behindDoc="1" locked="0" layoutInCell="1" allowOverlap="1">
          <wp:simplePos x="0" y="0"/>
          <wp:positionH relativeFrom="page">
            <wp:align>left</wp:align>
          </wp:positionH>
          <wp:positionV relativeFrom="paragraph">
            <wp:posOffset>-450215</wp:posOffset>
          </wp:positionV>
          <wp:extent cx="7559040" cy="990600"/>
          <wp:effectExtent l="0" t="0" r="3810" b="0"/>
          <wp:wrapTight wrapText="bothSides">
            <wp:wrapPolygon edited="0">
              <wp:start x="0" y="0"/>
              <wp:lineTo x="0" y="21185"/>
              <wp:lineTo x="21556" y="21185"/>
              <wp:lineTo x="21556" y="0"/>
              <wp:lineTo x="0" y="0"/>
            </wp:wrapPolygon>
          </wp:wrapTight>
          <wp:docPr id="15395610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559040" cy="990600"/>
                  </a:xfrm>
                  <a:prstGeom prst="rect">
                    <a:avLst/>
                  </a:prstGeom>
                  <a:ln/>
                </pic:spPr>
              </pic:pic>
            </a:graphicData>
          </a:graphic>
          <wp14:sizeRelH relativeFrom="margin">
            <wp14:pctWidth>0</wp14:pctWidth>
          </wp14:sizeRelH>
          <wp14:sizeRelV relativeFrom="margin">
            <wp14:pctHeight>0</wp14:pctHeight>
          </wp14:sizeRelV>
        </wp:anchor>
      </w:drawing>
    </w:r>
  </w:p>
  <w:p w:rsidR="00D11D81" w:rsidRDefault="00D11D81">
    <w:pPr>
      <w:pBdr>
        <w:top w:val="nil"/>
        <w:left w:val="nil"/>
        <w:bottom w:val="nil"/>
        <w:right w:val="nil"/>
        <w:between w:val="nil"/>
      </w:pBdr>
      <w:spacing w:line="240" w:lineRule="auto"/>
      <w:ind w:left="0" w:hanging="2"/>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5F21"/>
    <w:multiLevelType w:val="multilevel"/>
    <w:tmpl w:val="922ABFB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00B3409"/>
    <w:multiLevelType w:val="multilevel"/>
    <w:tmpl w:val="F692CF40"/>
    <w:lvl w:ilvl="0">
      <w:start w:val="1"/>
      <w:numFmt w:val="bullet"/>
      <w:pStyle w:val="puntato"/>
      <w:lvlText w:val="o"/>
      <w:lvlJc w:val="left"/>
      <w:pPr>
        <w:ind w:left="1434" w:hanging="360"/>
      </w:pPr>
      <w:rPr>
        <w:rFonts w:ascii="Courier New" w:eastAsia="Courier New" w:hAnsi="Courier New" w:cs="Courier New"/>
        <w:vertAlign w:val="baseline"/>
      </w:rPr>
    </w:lvl>
    <w:lvl w:ilvl="1">
      <w:start w:val="1"/>
      <w:numFmt w:val="bullet"/>
      <w:lvlText w:val="o"/>
      <w:lvlJc w:val="left"/>
      <w:pPr>
        <w:ind w:left="2154" w:hanging="360"/>
      </w:pPr>
      <w:rPr>
        <w:rFonts w:ascii="Courier New" w:eastAsia="Courier New" w:hAnsi="Courier New" w:cs="Courier New"/>
        <w:vertAlign w:val="baseline"/>
      </w:rPr>
    </w:lvl>
    <w:lvl w:ilvl="2">
      <w:start w:val="1"/>
      <w:numFmt w:val="bullet"/>
      <w:lvlText w:val="▪"/>
      <w:lvlJc w:val="left"/>
      <w:pPr>
        <w:ind w:left="2874" w:hanging="360"/>
      </w:pPr>
      <w:rPr>
        <w:rFonts w:ascii="Noto Sans Symbols" w:eastAsia="Noto Sans Symbols" w:hAnsi="Noto Sans Symbols" w:cs="Noto Sans Symbols"/>
        <w:vertAlign w:val="baseline"/>
      </w:rPr>
    </w:lvl>
    <w:lvl w:ilvl="3">
      <w:start w:val="1"/>
      <w:numFmt w:val="bullet"/>
      <w:lvlText w:val="●"/>
      <w:lvlJc w:val="left"/>
      <w:pPr>
        <w:ind w:left="3594" w:hanging="360"/>
      </w:pPr>
      <w:rPr>
        <w:rFonts w:ascii="Noto Sans Symbols" w:eastAsia="Noto Sans Symbols" w:hAnsi="Noto Sans Symbols" w:cs="Noto Sans Symbols"/>
        <w:vertAlign w:val="baseline"/>
      </w:rPr>
    </w:lvl>
    <w:lvl w:ilvl="4">
      <w:start w:val="1"/>
      <w:numFmt w:val="bullet"/>
      <w:lvlText w:val="o"/>
      <w:lvlJc w:val="left"/>
      <w:pPr>
        <w:ind w:left="4314" w:hanging="360"/>
      </w:pPr>
      <w:rPr>
        <w:rFonts w:ascii="Courier New" w:eastAsia="Courier New" w:hAnsi="Courier New" w:cs="Courier New"/>
        <w:vertAlign w:val="baseline"/>
      </w:rPr>
    </w:lvl>
    <w:lvl w:ilvl="5">
      <w:start w:val="1"/>
      <w:numFmt w:val="bullet"/>
      <w:lvlText w:val="▪"/>
      <w:lvlJc w:val="left"/>
      <w:pPr>
        <w:ind w:left="5034" w:hanging="360"/>
      </w:pPr>
      <w:rPr>
        <w:rFonts w:ascii="Noto Sans Symbols" w:eastAsia="Noto Sans Symbols" w:hAnsi="Noto Sans Symbols" w:cs="Noto Sans Symbols"/>
        <w:vertAlign w:val="baseline"/>
      </w:rPr>
    </w:lvl>
    <w:lvl w:ilvl="6">
      <w:start w:val="1"/>
      <w:numFmt w:val="bullet"/>
      <w:lvlText w:val="●"/>
      <w:lvlJc w:val="left"/>
      <w:pPr>
        <w:ind w:left="5754" w:hanging="360"/>
      </w:pPr>
      <w:rPr>
        <w:rFonts w:ascii="Noto Sans Symbols" w:eastAsia="Noto Sans Symbols" w:hAnsi="Noto Sans Symbols" w:cs="Noto Sans Symbols"/>
        <w:vertAlign w:val="baseline"/>
      </w:rPr>
    </w:lvl>
    <w:lvl w:ilvl="7">
      <w:start w:val="1"/>
      <w:numFmt w:val="bullet"/>
      <w:lvlText w:val="o"/>
      <w:lvlJc w:val="left"/>
      <w:pPr>
        <w:ind w:left="6474" w:hanging="360"/>
      </w:pPr>
      <w:rPr>
        <w:rFonts w:ascii="Courier New" w:eastAsia="Courier New" w:hAnsi="Courier New" w:cs="Courier New"/>
        <w:vertAlign w:val="baseline"/>
      </w:rPr>
    </w:lvl>
    <w:lvl w:ilvl="8">
      <w:start w:val="1"/>
      <w:numFmt w:val="bullet"/>
      <w:lvlText w:val="▪"/>
      <w:lvlJc w:val="left"/>
      <w:pPr>
        <w:ind w:left="7194" w:hanging="360"/>
      </w:pPr>
      <w:rPr>
        <w:rFonts w:ascii="Noto Sans Symbols" w:eastAsia="Noto Sans Symbols" w:hAnsi="Noto Sans Symbols" w:cs="Noto Sans Symbols"/>
        <w:vertAlign w:val="baseline"/>
      </w:rPr>
    </w:lvl>
  </w:abstractNum>
  <w:abstractNum w:abstractNumId="2" w15:restartNumberingAfterBreak="0">
    <w:nsid w:val="11DF3D74"/>
    <w:multiLevelType w:val="multilevel"/>
    <w:tmpl w:val="BA4C6E46"/>
    <w:lvl w:ilvl="0">
      <w:start w:val="1"/>
      <w:numFmt w:val="bullet"/>
      <w:pStyle w:val="Numerazioneperbuste"/>
      <w:lvlText w:val="o"/>
      <w:lvlJc w:val="left"/>
      <w:pPr>
        <w:ind w:left="1434" w:hanging="360"/>
      </w:pPr>
      <w:rPr>
        <w:rFonts w:ascii="Courier New" w:eastAsia="Courier New" w:hAnsi="Courier New" w:cs="Courier New"/>
        <w:vertAlign w:val="baseline"/>
      </w:rPr>
    </w:lvl>
    <w:lvl w:ilvl="1">
      <w:start w:val="1"/>
      <w:numFmt w:val="bullet"/>
      <w:lvlText w:val="o"/>
      <w:lvlJc w:val="left"/>
      <w:pPr>
        <w:ind w:left="2154" w:hanging="360"/>
      </w:pPr>
      <w:rPr>
        <w:rFonts w:ascii="Courier New" w:eastAsia="Courier New" w:hAnsi="Courier New" w:cs="Courier New"/>
        <w:vertAlign w:val="baseline"/>
      </w:rPr>
    </w:lvl>
    <w:lvl w:ilvl="2">
      <w:start w:val="1"/>
      <w:numFmt w:val="bullet"/>
      <w:lvlText w:val="▪"/>
      <w:lvlJc w:val="left"/>
      <w:pPr>
        <w:ind w:left="2874" w:hanging="360"/>
      </w:pPr>
      <w:rPr>
        <w:rFonts w:ascii="Noto Sans Symbols" w:eastAsia="Noto Sans Symbols" w:hAnsi="Noto Sans Symbols" w:cs="Noto Sans Symbols"/>
        <w:vertAlign w:val="baseline"/>
      </w:rPr>
    </w:lvl>
    <w:lvl w:ilvl="3">
      <w:start w:val="1"/>
      <w:numFmt w:val="bullet"/>
      <w:lvlText w:val="●"/>
      <w:lvlJc w:val="left"/>
      <w:pPr>
        <w:ind w:left="3594" w:hanging="360"/>
      </w:pPr>
      <w:rPr>
        <w:rFonts w:ascii="Noto Sans Symbols" w:eastAsia="Noto Sans Symbols" w:hAnsi="Noto Sans Symbols" w:cs="Noto Sans Symbols"/>
        <w:vertAlign w:val="baseline"/>
      </w:rPr>
    </w:lvl>
    <w:lvl w:ilvl="4">
      <w:start w:val="1"/>
      <w:numFmt w:val="bullet"/>
      <w:lvlText w:val="o"/>
      <w:lvlJc w:val="left"/>
      <w:pPr>
        <w:ind w:left="4314" w:hanging="360"/>
      </w:pPr>
      <w:rPr>
        <w:rFonts w:ascii="Courier New" w:eastAsia="Courier New" w:hAnsi="Courier New" w:cs="Courier New"/>
        <w:vertAlign w:val="baseline"/>
      </w:rPr>
    </w:lvl>
    <w:lvl w:ilvl="5">
      <w:start w:val="1"/>
      <w:numFmt w:val="bullet"/>
      <w:lvlText w:val="▪"/>
      <w:lvlJc w:val="left"/>
      <w:pPr>
        <w:ind w:left="5034" w:hanging="360"/>
      </w:pPr>
      <w:rPr>
        <w:rFonts w:ascii="Noto Sans Symbols" w:eastAsia="Noto Sans Symbols" w:hAnsi="Noto Sans Symbols" w:cs="Noto Sans Symbols"/>
        <w:vertAlign w:val="baseline"/>
      </w:rPr>
    </w:lvl>
    <w:lvl w:ilvl="6">
      <w:start w:val="1"/>
      <w:numFmt w:val="bullet"/>
      <w:lvlText w:val="●"/>
      <w:lvlJc w:val="left"/>
      <w:pPr>
        <w:ind w:left="5754" w:hanging="360"/>
      </w:pPr>
      <w:rPr>
        <w:rFonts w:ascii="Noto Sans Symbols" w:eastAsia="Noto Sans Symbols" w:hAnsi="Noto Sans Symbols" w:cs="Noto Sans Symbols"/>
        <w:vertAlign w:val="baseline"/>
      </w:rPr>
    </w:lvl>
    <w:lvl w:ilvl="7">
      <w:start w:val="1"/>
      <w:numFmt w:val="bullet"/>
      <w:lvlText w:val="o"/>
      <w:lvlJc w:val="left"/>
      <w:pPr>
        <w:ind w:left="6474" w:hanging="360"/>
      </w:pPr>
      <w:rPr>
        <w:rFonts w:ascii="Courier New" w:eastAsia="Courier New" w:hAnsi="Courier New" w:cs="Courier New"/>
        <w:vertAlign w:val="baseline"/>
      </w:rPr>
    </w:lvl>
    <w:lvl w:ilvl="8">
      <w:start w:val="1"/>
      <w:numFmt w:val="bullet"/>
      <w:lvlText w:val="▪"/>
      <w:lvlJc w:val="left"/>
      <w:pPr>
        <w:ind w:left="7194" w:hanging="360"/>
      </w:pPr>
      <w:rPr>
        <w:rFonts w:ascii="Noto Sans Symbols" w:eastAsia="Noto Sans Symbols" w:hAnsi="Noto Sans Symbols" w:cs="Noto Sans Symbols"/>
        <w:vertAlign w:val="baseline"/>
      </w:rPr>
    </w:lvl>
  </w:abstractNum>
  <w:abstractNum w:abstractNumId="3" w15:restartNumberingAfterBreak="0">
    <w:nsid w:val="146469DB"/>
    <w:multiLevelType w:val="multilevel"/>
    <w:tmpl w:val="AA2603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F066A17"/>
    <w:multiLevelType w:val="multilevel"/>
    <w:tmpl w:val="A3487D2A"/>
    <w:lvl w:ilvl="0">
      <w:numFmt w:val="bullet"/>
      <w:pStyle w:val="Numeroelenco"/>
      <w:lvlText w:val="-"/>
      <w:lvlJc w:val="left"/>
      <w:pPr>
        <w:ind w:left="1070" w:hanging="710"/>
      </w:pPr>
      <w:rPr>
        <w:rFonts w:ascii="Georgia" w:eastAsia="Georgia" w:hAnsi="Georgia" w:cs="Georgia"/>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0120B79"/>
    <w:multiLevelType w:val="multilevel"/>
    <w:tmpl w:val="B3ECF322"/>
    <w:lvl w:ilvl="0">
      <w:start w:val="1"/>
      <w:numFmt w:val="lowerLetter"/>
      <w:pStyle w:val="numerato"/>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E453C9F"/>
    <w:multiLevelType w:val="multilevel"/>
    <w:tmpl w:val="E48444A8"/>
    <w:lvl w:ilvl="0">
      <w:numFmt w:val="bullet"/>
      <w:pStyle w:val="Buste"/>
      <w:lvlText w:val="❑"/>
      <w:lvlJc w:val="left"/>
      <w:pPr>
        <w:ind w:left="1080" w:hanging="360"/>
      </w:pPr>
      <w:rPr>
        <w:rFonts w:ascii="Noto Sans Symbols" w:eastAsia="Noto Sans Symbols" w:hAnsi="Noto Sans Symbols" w:cs="Noto Sans Symbols"/>
        <w:b/>
        <w:color w:val="000000"/>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7" w15:restartNumberingAfterBreak="0">
    <w:nsid w:val="38F12C6D"/>
    <w:multiLevelType w:val="multilevel"/>
    <w:tmpl w:val="1BEEE71E"/>
    <w:lvl w:ilvl="0">
      <w:start w:val="1"/>
      <w:numFmt w:val="decimal"/>
      <w:lvlText w:val="%1)"/>
      <w:lvlJc w:val="left"/>
      <w:pPr>
        <w:ind w:left="360" w:hanging="360"/>
      </w:pPr>
      <w:rPr>
        <w:b w:val="0"/>
        <w:i w:val="0"/>
        <w:sz w:val="24"/>
        <w:szCs w:val="24"/>
        <w:vertAlign w:val="baseline"/>
      </w:rPr>
    </w:lvl>
    <w:lvl w:ilvl="1">
      <w:start w:val="1"/>
      <w:numFmt w:val="lowerLetter"/>
      <w:lvlText w:val="%2)"/>
      <w:lvlJc w:val="left"/>
      <w:pPr>
        <w:ind w:left="720" w:hanging="360"/>
      </w:pPr>
      <w:rPr>
        <w:b w:val="0"/>
        <w:i w:val="0"/>
        <w:sz w:val="24"/>
        <w:szCs w:val="24"/>
        <w:vertAlign w:val="baseline"/>
      </w:rPr>
    </w:lvl>
    <w:lvl w:ilvl="2">
      <w:start w:val="1"/>
      <w:numFmt w:val="bullet"/>
      <w:pStyle w:val="StileTitolo3Giustificato"/>
      <w:lvlText w:val="●"/>
      <w:lvlJc w:val="left"/>
      <w:pPr>
        <w:ind w:left="1440" w:hanging="180"/>
      </w:pPr>
      <w:rPr>
        <w:rFonts w:ascii="Noto Sans Symbols" w:eastAsia="Noto Sans Symbols" w:hAnsi="Noto Sans Symbols" w:cs="Noto Sans Symbols"/>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8" w15:restartNumberingAfterBreak="0">
    <w:nsid w:val="503A0A06"/>
    <w:multiLevelType w:val="multilevel"/>
    <w:tmpl w:val="86304FB6"/>
    <w:lvl w:ilvl="0">
      <w:start w:val="1"/>
      <w:numFmt w:val="decimal"/>
      <w:pStyle w:val="ListRoman"/>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CE278B4"/>
    <w:multiLevelType w:val="multilevel"/>
    <w:tmpl w:val="AF4A15DA"/>
    <w:lvl w:ilvl="0">
      <w:numFmt w:val="bullet"/>
      <w:lvlText w:val="❑"/>
      <w:lvlJc w:val="left"/>
      <w:pPr>
        <w:ind w:left="644" w:hanging="358"/>
      </w:pPr>
      <w:rPr>
        <w:rFonts w:ascii="Noto Sans Symbols" w:eastAsia="Noto Sans Symbols" w:hAnsi="Noto Sans Symbols" w:cs="Noto Sans Symbols"/>
        <w:b/>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10" w15:restartNumberingAfterBreak="0">
    <w:nsid w:val="73BF2A69"/>
    <w:multiLevelType w:val="multilevel"/>
    <w:tmpl w:val="8FD6B174"/>
    <w:lvl w:ilvl="0">
      <w:start w:val="1"/>
      <w:numFmt w:val="bullet"/>
      <w:pStyle w:val="Titolo1"/>
      <w:lvlText w:val="−"/>
      <w:lvlJc w:val="left"/>
      <w:pPr>
        <w:ind w:left="720" w:hanging="360"/>
      </w:pPr>
      <w:rPr>
        <w:rFonts w:ascii="Noto Sans Symbols" w:eastAsia="Noto Sans Symbols" w:hAnsi="Noto Sans Symbols" w:cs="Noto Sans Symbols"/>
        <w:vertAlign w:val="baseline"/>
      </w:rPr>
    </w:lvl>
    <w:lvl w:ilvl="1">
      <w:start w:val="1"/>
      <w:numFmt w:val="bullet"/>
      <w:pStyle w:val="Titolo2"/>
      <w:lvlText w:val="o"/>
      <w:lvlJc w:val="left"/>
      <w:pPr>
        <w:ind w:left="1440" w:hanging="360"/>
      </w:pPr>
      <w:rPr>
        <w:rFonts w:ascii="Courier New" w:eastAsia="Courier New" w:hAnsi="Courier New" w:cs="Courier New"/>
        <w:vertAlign w:val="baseline"/>
      </w:rPr>
    </w:lvl>
    <w:lvl w:ilvl="2">
      <w:start w:val="1"/>
      <w:numFmt w:val="bullet"/>
      <w:pStyle w:val="Titolo3"/>
      <w:lvlText w:val="▪"/>
      <w:lvlJc w:val="left"/>
      <w:pPr>
        <w:ind w:left="2160" w:hanging="360"/>
      </w:pPr>
      <w:rPr>
        <w:rFonts w:ascii="Noto Sans Symbols" w:eastAsia="Noto Sans Symbols" w:hAnsi="Noto Sans Symbols" w:cs="Noto Sans Symbols"/>
        <w:vertAlign w:val="baseline"/>
      </w:rPr>
    </w:lvl>
    <w:lvl w:ilvl="3">
      <w:start w:val="1"/>
      <w:numFmt w:val="bullet"/>
      <w:pStyle w:val="Titolo4"/>
      <w:lvlText w:val="●"/>
      <w:lvlJc w:val="left"/>
      <w:pPr>
        <w:ind w:left="2880" w:hanging="360"/>
      </w:pPr>
      <w:rPr>
        <w:rFonts w:ascii="Noto Sans Symbols" w:eastAsia="Noto Sans Symbols" w:hAnsi="Noto Sans Symbols" w:cs="Noto Sans Symbols"/>
        <w:vertAlign w:val="baseline"/>
      </w:rPr>
    </w:lvl>
    <w:lvl w:ilvl="4">
      <w:start w:val="1"/>
      <w:numFmt w:val="bullet"/>
      <w:pStyle w:val="Titolo5"/>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7E7824D0"/>
    <w:multiLevelType w:val="multilevel"/>
    <w:tmpl w:val="D3226C7A"/>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pStyle w:val="Stile1"/>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num w:numId="1">
    <w:abstractNumId w:val="7"/>
  </w:num>
  <w:num w:numId="2">
    <w:abstractNumId w:val="0"/>
  </w:num>
  <w:num w:numId="3">
    <w:abstractNumId w:val="5"/>
  </w:num>
  <w:num w:numId="4">
    <w:abstractNumId w:val="10"/>
  </w:num>
  <w:num w:numId="5">
    <w:abstractNumId w:val="2"/>
  </w:num>
  <w:num w:numId="6">
    <w:abstractNumId w:val="11"/>
  </w:num>
  <w:num w:numId="7">
    <w:abstractNumId w:val="1"/>
  </w:num>
  <w:num w:numId="8">
    <w:abstractNumId w:val="6"/>
  </w:num>
  <w:num w:numId="9">
    <w:abstractNumId w:val="4"/>
  </w:num>
  <w:num w:numId="10">
    <w:abstractNumId w:val="3"/>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D81"/>
    <w:rsid w:val="000A62E1"/>
    <w:rsid w:val="000B6329"/>
    <w:rsid w:val="000D16F5"/>
    <w:rsid w:val="00144A15"/>
    <w:rsid w:val="00283384"/>
    <w:rsid w:val="003059A2"/>
    <w:rsid w:val="003160C3"/>
    <w:rsid w:val="003B6BD4"/>
    <w:rsid w:val="00424F97"/>
    <w:rsid w:val="005E7CFB"/>
    <w:rsid w:val="0062273B"/>
    <w:rsid w:val="00706A3E"/>
    <w:rsid w:val="00723ECE"/>
    <w:rsid w:val="009524AD"/>
    <w:rsid w:val="009661AF"/>
    <w:rsid w:val="00A91FD9"/>
    <w:rsid w:val="00BA56CE"/>
    <w:rsid w:val="00BE2430"/>
    <w:rsid w:val="00BE57D9"/>
    <w:rsid w:val="00BF16B6"/>
    <w:rsid w:val="00D11D81"/>
    <w:rsid w:val="00E1577B"/>
    <w:rsid w:val="00E200BB"/>
    <w:rsid w:val="00E663CF"/>
    <w:rsid w:val="00EF06F9"/>
    <w:rsid w:val="00F34B78"/>
    <w:rsid w:val="00F82FF2"/>
    <w:rsid w:val="00FF5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509FE3-6C7E-4156-893F-6B803F5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it-IT" w:eastAsia="it-IT" w:bidi="ar-SA"/>
      </w:rPr>
    </w:rPrDefault>
    <w:pPrDefault>
      <w:pPr>
        <w:spacing w:before="120" w:after="120" w:line="360" w:lineRule="auto"/>
        <w:ind w:hang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ind w:leftChars="-1" w:left="-1" w:hangingChars="1"/>
      <w:textDirection w:val="btLr"/>
      <w:textAlignment w:val="top"/>
      <w:outlineLvl w:val="0"/>
    </w:pPr>
    <w:rPr>
      <w:position w:val="-1"/>
    </w:rPr>
  </w:style>
  <w:style w:type="paragraph" w:styleId="Titolo1">
    <w:name w:val="heading 1"/>
    <w:basedOn w:val="Normale"/>
    <w:next w:val="Normale"/>
    <w:uiPriority w:val="9"/>
    <w:qFormat/>
    <w:pPr>
      <w:keepNext/>
      <w:numPr>
        <w:numId w:val="4"/>
      </w:numPr>
      <w:spacing w:before="240" w:after="240"/>
      <w:ind w:left="-1" w:hanging="1"/>
      <w:jc w:val="left"/>
    </w:pPr>
    <w:rPr>
      <w:b/>
      <w:bCs/>
      <w:caps/>
      <w:kern w:val="32"/>
    </w:rPr>
  </w:style>
  <w:style w:type="paragraph" w:styleId="Titolo2">
    <w:name w:val="heading 2"/>
    <w:basedOn w:val="Normale"/>
    <w:next w:val="Normale"/>
    <w:uiPriority w:val="9"/>
    <w:semiHidden/>
    <w:unhideWhenUsed/>
    <w:qFormat/>
    <w:pPr>
      <w:keepNext/>
      <w:numPr>
        <w:ilvl w:val="1"/>
        <w:numId w:val="4"/>
      </w:numPr>
      <w:spacing w:before="240" w:after="240"/>
      <w:ind w:left="-1" w:hanging="1"/>
      <w:outlineLvl w:val="1"/>
    </w:pPr>
    <w:rPr>
      <w:caps/>
    </w:rPr>
  </w:style>
  <w:style w:type="paragraph" w:styleId="Titolo3">
    <w:name w:val="heading 3"/>
    <w:basedOn w:val="Normale"/>
    <w:next w:val="Normale"/>
    <w:uiPriority w:val="9"/>
    <w:semiHidden/>
    <w:unhideWhenUsed/>
    <w:qFormat/>
    <w:pPr>
      <w:keepNext/>
      <w:numPr>
        <w:ilvl w:val="2"/>
        <w:numId w:val="4"/>
      </w:numPr>
      <w:spacing w:before="240"/>
      <w:ind w:left="-1" w:hanging="1"/>
      <w:outlineLvl w:val="2"/>
    </w:pPr>
    <w:rPr>
      <w:i/>
      <w:iCs/>
    </w:rPr>
  </w:style>
  <w:style w:type="paragraph" w:styleId="Titolo4">
    <w:name w:val="heading 4"/>
    <w:basedOn w:val="Normale"/>
    <w:next w:val="Normale"/>
    <w:uiPriority w:val="9"/>
    <w:semiHidden/>
    <w:unhideWhenUsed/>
    <w:qFormat/>
    <w:pPr>
      <w:keepNext/>
      <w:numPr>
        <w:ilvl w:val="3"/>
        <w:numId w:val="4"/>
      </w:numPr>
      <w:spacing w:before="240" w:after="60"/>
      <w:ind w:left="-1" w:hanging="1"/>
      <w:outlineLvl w:val="3"/>
    </w:pPr>
    <w:rPr>
      <w:b/>
      <w:bCs/>
      <w:sz w:val="28"/>
      <w:szCs w:val="28"/>
    </w:rPr>
  </w:style>
  <w:style w:type="paragraph" w:styleId="Titolo5">
    <w:name w:val="heading 5"/>
    <w:basedOn w:val="Normale"/>
    <w:next w:val="Normale"/>
    <w:uiPriority w:val="9"/>
    <w:semiHidden/>
    <w:unhideWhenUsed/>
    <w:qFormat/>
    <w:pPr>
      <w:numPr>
        <w:ilvl w:val="4"/>
        <w:numId w:val="4"/>
      </w:numPr>
      <w:spacing w:before="240" w:after="60"/>
      <w:ind w:left="-1" w:hanging="1"/>
      <w:outlineLvl w:val="4"/>
    </w:pPr>
    <w:rPr>
      <w:b/>
      <w:bCs/>
      <w:i/>
      <w:iCs/>
      <w:sz w:val="26"/>
      <w:szCs w:val="26"/>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uiPriority w:val="10"/>
    <w:qFormat/>
    <w:pPr>
      <w:keepNext/>
      <w:keepLines/>
      <w:spacing w:before="141" w:after="73" w:line="240" w:lineRule="auto"/>
      <w:jc w:val="center"/>
    </w:pPr>
    <w:rPr>
      <w:rFonts w:ascii="Arial" w:hAnsi="Arial"/>
      <w:b/>
      <w:sz w:val="36"/>
      <w:szCs w:val="20"/>
    </w:rPr>
  </w:style>
  <w:style w:type="table" w:customStyle="1" w:styleId="TableNormal0">
    <w:name w:val="Table Normal"/>
    <w:tblPr>
      <w:tblCellMar>
        <w:top w:w="0" w:type="dxa"/>
        <w:left w:w="0" w:type="dxa"/>
        <w:bottom w:w="0" w:type="dxa"/>
        <w:right w:w="0" w:type="dxa"/>
      </w:tblCellMar>
    </w:tblPr>
  </w:style>
  <w:style w:type="character" w:customStyle="1" w:styleId="Titolo1Carattere">
    <w:name w:val="Titolo 1 Carattere"/>
    <w:rPr>
      <w:b/>
      <w:bCs/>
      <w:caps/>
      <w:w w:val="100"/>
      <w:kern w:val="32"/>
      <w:position w:val="-1"/>
      <w:sz w:val="24"/>
      <w:szCs w:val="24"/>
      <w:effect w:val="none"/>
      <w:vertAlign w:val="baseline"/>
      <w:cs w:val="0"/>
      <w:em w:val="none"/>
      <w:lang w:val="it-IT" w:eastAsia="it-IT"/>
    </w:rPr>
  </w:style>
  <w:style w:type="character" w:customStyle="1" w:styleId="Titolo2Carattere">
    <w:name w:val="Titolo 2 Carattere"/>
    <w:rPr>
      <w:caps/>
      <w:w w:val="100"/>
      <w:position w:val="-1"/>
      <w:sz w:val="24"/>
      <w:szCs w:val="24"/>
      <w:effect w:val="none"/>
      <w:vertAlign w:val="baseline"/>
      <w:cs w:val="0"/>
      <w:em w:val="none"/>
      <w:lang w:val="it-IT" w:eastAsia="it-IT"/>
    </w:rPr>
  </w:style>
  <w:style w:type="character" w:customStyle="1" w:styleId="Titolo3Carattere">
    <w:name w:val="Titolo 3 Carattere"/>
    <w:rPr>
      <w:i/>
      <w:iCs/>
      <w:w w:val="100"/>
      <w:position w:val="-1"/>
      <w:sz w:val="24"/>
      <w:szCs w:val="24"/>
      <w:effect w:val="none"/>
      <w:vertAlign w:val="baseline"/>
      <w:cs w:val="0"/>
      <w:em w:val="none"/>
      <w:lang w:val="it-IT" w:eastAsia="it-IT"/>
    </w:rPr>
  </w:style>
  <w:style w:type="character" w:customStyle="1" w:styleId="Titolo4Carattere">
    <w:name w:val="Titolo 4 Carattere"/>
    <w:rPr>
      <w:b/>
      <w:bCs/>
      <w:w w:val="100"/>
      <w:position w:val="-1"/>
      <w:sz w:val="28"/>
      <w:szCs w:val="28"/>
      <w:effect w:val="none"/>
      <w:vertAlign w:val="baseline"/>
      <w:cs w:val="0"/>
      <w:em w:val="none"/>
      <w:lang w:val="it-IT" w:eastAsia="it-IT"/>
    </w:rPr>
  </w:style>
  <w:style w:type="character" w:customStyle="1" w:styleId="Titolo5Carattere">
    <w:name w:val="Titolo 5 Carattere"/>
    <w:rPr>
      <w:b/>
      <w:bCs/>
      <w:i/>
      <w:iCs/>
      <w:w w:val="100"/>
      <w:position w:val="-1"/>
      <w:sz w:val="26"/>
      <w:szCs w:val="26"/>
      <w:effect w:val="none"/>
      <w:vertAlign w:val="baseline"/>
      <w:cs w:val="0"/>
      <w:em w:val="none"/>
      <w:lang w:val="it-IT" w:eastAsia="it-IT"/>
    </w:rPr>
  </w:style>
  <w:style w:type="paragraph" w:customStyle="1" w:styleId="StileTitolo3Giustificato">
    <w:name w:val="Stile Titolo 3 + Giustificato"/>
    <w:basedOn w:val="Titolo3"/>
    <w:pPr>
      <w:numPr>
        <w:numId w:val="1"/>
      </w:numPr>
      <w:ind w:left="-1" w:hanging="1"/>
    </w:pPr>
    <w:rPr>
      <w:b/>
      <w:bCs/>
      <w:i w:val="0"/>
      <w:iCs w:val="0"/>
      <w:color w:val="000000"/>
    </w:rPr>
  </w:style>
  <w:style w:type="paragraph" w:customStyle="1" w:styleId="IntestazioneIntestazioneNova">
    <w:name w:val="Intestazione;Intestazione Nova"/>
    <w:basedOn w:val="Normale"/>
    <w:pPr>
      <w:spacing w:before="0" w:after="0" w:line="240" w:lineRule="auto"/>
    </w:pPr>
    <w:rPr>
      <w:sz w:val="20"/>
      <w:szCs w:val="20"/>
    </w:rPr>
  </w:style>
  <w:style w:type="character" w:customStyle="1" w:styleId="IntestazioneCarattereIntestazioneNovaCarattere">
    <w:name w:val="Intestazione Carattere;Intestazione Nova Carattere"/>
    <w:rPr>
      <w:w w:val="100"/>
      <w:position w:val="-1"/>
      <w:sz w:val="24"/>
      <w:szCs w:val="24"/>
      <w:effect w:val="none"/>
      <w:vertAlign w:val="baseline"/>
      <w:cs w:val="0"/>
      <w:em w:val="none"/>
    </w:rPr>
  </w:style>
  <w:style w:type="paragraph" w:styleId="Pidipagina">
    <w:name w:val="footer"/>
    <w:basedOn w:val="Normale"/>
  </w:style>
  <w:style w:type="character" w:customStyle="1" w:styleId="PidipaginaCarattere">
    <w:name w:val="Piè di pagina Carattere"/>
    <w:rPr>
      <w:w w:val="100"/>
      <w:position w:val="-1"/>
      <w:sz w:val="24"/>
      <w:szCs w:val="24"/>
      <w:effect w:val="none"/>
      <w:vertAlign w:val="baseline"/>
      <w:cs w:val="0"/>
      <w:em w:val="none"/>
    </w:rPr>
  </w:style>
  <w:style w:type="paragraph" w:customStyle="1" w:styleId="puntato">
    <w:name w:val="puntato"/>
    <w:basedOn w:val="Normale"/>
    <w:pPr>
      <w:numPr>
        <w:numId w:val="7"/>
      </w:numPr>
      <w:spacing w:before="0" w:after="0"/>
      <w:ind w:left="-1" w:hanging="1"/>
    </w:pPr>
  </w:style>
  <w:style w:type="character" w:styleId="Numeropagina">
    <w:name w:val="page number"/>
    <w:rPr>
      <w:w w:val="100"/>
      <w:position w:val="-1"/>
      <w:effect w:val="none"/>
      <w:vertAlign w:val="baseline"/>
      <w:cs w:val="0"/>
      <w:em w:val="none"/>
    </w:rPr>
  </w:style>
  <w:style w:type="paragraph" w:customStyle="1" w:styleId="numerato">
    <w:name w:val="numerato"/>
    <w:basedOn w:val="puntato"/>
    <w:pPr>
      <w:numPr>
        <w:numId w:val="3"/>
      </w:numPr>
      <w:ind w:left="-1" w:hanging="1"/>
    </w:pPr>
  </w:style>
  <w:style w:type="paragraph" w:styleId="Sommario1">
    <w:name w:val="toc 1"/>
    <w:basedOn w:val="Normale"/>
    <w:next w:val="Normale"/>
  </w:style>
  <w:style w:type="paragraph" w:styleId="Sommario2">
    <w:name w:val="toc 2"/>
    <w:basedOn w:val="Normale"/>
    <w:next w:val="Normale"/>
    <w:pPr>
      <w:ind w:left="240"/>
    </w:pPr>
  </w:style>
  <w:style w:type="character" w:styleId="Collegamentoipertestuale">
    <w:name w:val="Hyperlink"/>
    <w:rPr>
      <w:color w:val="0000FF"/>
      <w:w w:val="100"/>
      <w:position w:val="-1"/>
      <w:u w:val="single"/>
      <w:effect w:val="none"/>
      <w:vertAlign w:val="baseline"/>
      <w:cs w:val="0"/>
      <w:em w:val="none"/>
    </w:rPr>
  </w:style>
  <w:style w:type="paragraph" w:styleId="Sommario3">
    <w:name w:val="toc 3"/>
    <w:basedOn w:val="Normale"/>
    <w:next w:val="Normale"/>
    <w:pPr>
      <w:ind w:left="480"/>
    </w:pPr>
  </w:style>
  <w:style w:type="paragraph" w:customStyle="1" w:styleId="Buste">
    <w:name w:val="Buste"/>
    <w:basedOn w:val="Normale"/>
    <w:pPr>
      <w:numPr>
        <w:numId w:val="8"/>
      </w:numPr>
      <w:ind w:left="-1" w:hanging="1"/>
    </w:pPr>
  </w:style>
  <w:style w:type="paragraph" w:customStyle="1" w:styleId="Numerazioneperbuste">
    <w:name w:val="Numerazione per buste"/>
    <w:basedOn w:val="Normale"/>
    <w:pPr>
      <w:numPr>
        <w:numId w:val="5"/>
      </w:numPr>
      <w:ind w:left="-1" w:hanging="1"/>
    </w:pPr>
  </w:style>
  <w:style w:type="paragraph" w:customStyle="1" w:styleId="Stile1">
    <w:name w:val="Stile1"/>
    <w:basedOn w:val="Normale"/>
    <w:pPr>
      <w:numPr>
        <w:ilvl w:val="1"/>
        <w:numId w:val="6"/>
      </w:numPr>
      <w:ind w:left="-1" w:hanging="1"/>
    </w:pPr>
  </w:style>
  <w:style w:type="character" w:styleId="Rimandocommento">
    <w:name w:val="annotation reference"/>
    <w:rPr>
      <w:w w:val="100"/>
      <w:position w:val="-1"/>
      <w:sz w:val="16"/>
      <w:szCs w:val="16"/>
      <w:effect w:val="none"/>
      <w:vertAlign w:val="baseline"/>
      <w:cs w:val="0"/>
      <w:em w:val="none"/>
    </w:rPr>
  </w:style>
  <w:style w:type="paragraph" w:styleId="Testocommento">
    <w:name w:val="annotation text"/>
    <w:basedOn w:val="Normale"/>
    <w:rPr>
      <w:sz w:val="20"/>
      <w:szCs w:val="20"/>
    </w:rPr>
  </w:style>
  <w:style w:type="character" w:customStyle="1" w:styleId="TestocommentoCarattere">
    <w:name w:val="Testo commento Carattere"/>
    <w:rPr>
      <w:w w:val="100"/>
      <w:position w:val="-1"/>
      <w:sz w:val="20"/>
      <w:szCs w:val="20"/>
      <w:effect w:val="none"/>
      <w:vertAlign w:val="baseline"/>
      <w:cs w:val="0"/>
      <w:em w:val="none"/>
    </w:rPr>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w w:val="100"/>
      <w:position w:val="-1"/>
      <w:sz w:val="20"/>
      <w:szCs w:val="20"/>
      <w:effect w:val="none"/>
      <w:vertAlign w:val="baseline"/>
      <w:cs w:val="0"/>
      <w:em w:val="none"/>
    </w:rPr>
  </w:style>
  <w:style w:type="paragraph" w:styleId="Testofumetto">
    <w:name w:val="Balloon Text"/>
    <w:basedOn w:val="Normale"/>
    <w:rPr>
      <w:rFonts w:ascii="Tahoma" w:hAnsi="Tahoma" w:cs="Tahoma"/>
      <w:sz w:val="16"/>
      <w:szCs w:val="16"/>
    </w:rPr>
  </w:style>
  <w:style w:type="character" w:customStyle="1" w:styleId="TestofumettoCarattere">
    <w:name w:val="Testo fumetto Carattere"/>
    <w:rPr>
      <w:w w:val="100"/>
      <w:position w:val="-1"/>
      <w:sz w:val="2"/>
      <w:effect w:val="none"/>
      <w:vertAlign w:val="baseline"/>
      <w:cs w:val="0"/>
      <w:em w:val="none"/>
    </w:rPr>
  </w:style>
  <w:style w:type="paragraph" w:customStyle="1" w:styleId="usoboll1">
    <w:name w:val="usoboll1"/>
    <w:basedOn w:val="Normale"/>
    <w:pPr>
      <w:widowControl w:val="0"/>
      <w:spacing w:before="0" w:after="0" w:line="482" w:lineRule="atLeast"/>
    </w:pPr>
    <w:rPr>
      <w:rFonts w:ascii="Book Antiqua" w:hAnsi="Book Antiqua" w:cs="Book Antiqua"/>
    </w:rPr>
  </w:style>
  <w:style w:type="character" w:styleId="Enfasigrassetto">
    <w:name w:val="Strong"/>
    <w:rPr>
      <w:b/>
      <w:bCs/>
      <w:w w:val="100"/>
      <w:position w:val="-1"/>
      <w:effect w:val="none"/>
      <w:vertAlign w:val="baseline"/>
      <w:cs w:val="0"/>
      <w:em w:val="none"/>
    </w:rPr>
  </w:style>
  <w:style w:type="character" w:styleId="Enfasicorsivo">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rPr>
  </w:style>
  <w:style w:type="paragraph" w:customStyle="1" w:styleId="ListParagraph1">
    <w:name w:val="List Paragraph1"/>
    <w:basedOn w:val="Normale"/>
    <w:pPr>
      <w:spacing w:before="0" w:after="200" w:line="276" w:lineRule="auto"/>
      <w:ind w:left="720"/>
      <w:jc w:val="left"/>
    </w:pPr>
    <w:rPr>
      <w:rFonts w:ascii="Calibri" w:hAnsi="Calibri" w:cs="Calibri"/>
      <w:sz w:val="22"/>
      <w:szCs w:val="22"/>
      <w:lang w:eastAsia="en-US"/>
    </w:rPr>
  </w:style>
  <w:style w:type="paragraph" w:customStyle="1" w:styleId="Default1">
    <w:name w:val="Default1"/>
    <w:basedOn w:val="Default"/>
    <w:next w:val="Default"/>
    <w:rPr>
      <w:color w:val="auto"/>
    </w:rPr>
  </w:style>
  <w:style w:type="paragraph" w:styleId="Corpodeltesto2">
    <w:name w:val="Body Text 2"/>
    <w:basedOn w:val="Normale"/>
    <w:pPr>
      <w:spacing w:before="0" w:line="480" w:lineRule="auto"/>
      <w:jc w:val="left"/>
    </w:pPr>
    <w:rPr>
      <w:rFonts w:ascii="Verdana" w:hAnsi="Verdana" w:cs="Verdana"/>
      <w:sz w:val="20"/>
      <w:szCs w:val="20"/>
    </w:rPr>
  </w:style>
  <w:style w:type="character" w:customStyle="1" w:styleId="Corpodeltesto2Carattere">
    <w:name w:val="Corpo del testo 2 Carattere"/>
    <w:rPr>
      <w:rFonts w:ascii="Verdana" w:hAnsi="Verdana" w:cs="Verdana"/>
      <w:w w:val="100"/>
      <w:position w:val="-1"/>
      <w:effect w:val="none"/>
      <w:vertAlign w:val="baseline"/>
      <w:cs w:val="0"/>
      <w:em w:val="none"/>
    </w:rPr>
  </w:style>
  <w:style w:type="paragraph" w:customStyle="1" w:styleId="lucia">
    <w:name w:val="lucia"/>
    <w:basedOn w:val="Normale"/>
    <w:pPr>
      <w:spacing w:before="0" w:after="0" w:line="240" w:lineRule="auto"/>
    </w:pPr>
    <w:rPr>
      <w:rFonts w:ascii="Arial" w:hAnsi="Arial" w:cs="Arial"/>
    </w:rPr>
  </w:style>
  <w:style w:type="paragraph" w:customStyle="1" w:styleId="Revision1">
    <w:name w:val="Revision1"/>
    <w:pPr>
      <w:suppressAutoHyphens/>
      <w:spacing w:line="1" w:lineRule="atLeast"/>
      <w:ind w:leftChars="-1" w:left="-1" w:hangingChars="1"/>
      <w:textDirection w:val="btLr"/>
      <w:textAlignment w:val="top"/>
      <w:outlineLvl w:val="0"/>
    </w:pPr>
    <w:rPr>
      <w:position w:val="-1"/>
    </w:rPr>
  </w:style>
  <w:style w:type="table" w:styleId="Grigliatabella">
    <w:name w:val="Table Grid"/>
    <w:basedOn w:val="Tabellanormale"/>
    <w:pPr>
      <w:suppressAutoHyphens/>
      <w:spacing w:line="1" w:lineRule="atLeast"/>
      <w:ind w:leftChars="-1" w:left="-1" w:hangingChars="1"/>
      <w:textDirection w:val="btLr"/>
      <w:textAlignment w:val="top"/>
      <w:outlineLvl w:val="0"/>
    </w:pPr>
    <w:rPr>
      <w:rFonts w:ascii="Calibri" w:hAnsi="Calibri" w:cs="Calibri"/>
      <w:position w:val="-1"/>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eNumerazioneautomatica">
    <w:name w:val="Stile Numerazione automatica"/>
  </w:style>
  <w:style w:type="character" w:customStyle="1" w:styleId="IntestazioneNovaCarattereCarattere">
    <w:name w:val="Intestazione Nova Carattere Carattere"/>
    <w:rPr>
      <w:w w:val="100"/>
      <w:position w:val="-1"/>
      <w:effect w:val="none"/>
      <w:vertAlign w:val="baseline"/>
      <w:cs w:val="0"/>
      <w:em w:val="none"/>
    </w:rPr>
  </w:style>
  <w:style w:type="character" w:styleId="Rimandonotaapidipagina">
    <w:name w:val="footnote reference"/>
    <w:rPr>
      <w:color w:val="000000"/>
      <w:w w:val="100"/>
      <w:position w:val="-1"/>
      <w:sz w:val="16"/>
      <w:effect w:val="none"/>
      <w:vertAlign w:val="baseline"/>
      <w:cs w:val="0"/>
      <w:em w:val="none"/>
    </w:rPr>
  </w:style>
  <w:style w:type="paragraph" w:styleId="Testonotaapidipagina">
    <w:name w:val="footnote text"/>
    <w:basedOn w:val="Normale"/>
    <w:pPr>
      <w:spacing w:before="0" w:after="240" w:line="240" w:lineRule="atLeast"/>
      <w:jc w:val="left"/>
    </w:pPr>
    <w:rPr>
      <w:rFonts w:ascii="Georgia" w:hAnsi="Georgia"/>
      <w:sz w:val="20"/>
      <w:szCs w:val="20"/>
    </w:rPr>
  </w:style>
  <w:style w:type="character" w:customStyle="1" w:styleId="TestonotaapidipaginaCarattere">
    <w:name w:val="Testo nota a piè di pagina Carattere"/>
    <w:rPr>
      <w:rFonts w:ascii="Georgia" w:hAnsi="Georgia"/>
      <w:w w:val="100"/>
      <w:position w:val="-1"/>
      <w:effect w:val="none"/>
      <w:vertAlign w:val="baseline"/>
      <w:cs w:val="0"/>
      <w:em w:val="none"/>
      <w:lang w:val="it-IT" w:eastAsia="it-IT" w:bidi="ar-SA"/>
    </w:rPr>
  </w:style>
  <w:style w:type="character" w:customStyle="1" w:styleId="ListParagraphChar">
    <w:name w:val="List Paragraph Char"/>
    <w:rPr>
      <w:rFonts w:ascii="Calibri" w:hAnsi="Calibri" w:cs="Calibri"/>
      <w:w w:val="100"/>
      <w:position w:val="-1"/>
      <w:sz w:val="22"/>
      <w:szCs w:val="22"/>
      <w:effect w:val="none"/>
      <w:vertAlign w:val="baseline"/>
      <w:cs w:val="0"/>
      <w:em w:val="none"/>
      <w:lang w:val="it-IT" w:eastAsia="en-US" w:bidi="ar-SA"/>
    </w:rPr>
  </w:style>
  <w:style w:type="paragraph" w:customStyle="1" w:styleId="ListRoman">
    <w:name w:val="List Roman"/>
    <w:basedOn w:val="Numeroelenco"/>
    <w:pPr>
      <w:numPr>
        <w:numId w:val="12"/>
      </w:numPr>
      <w:spacing w:after="240" w:line="240" w:lineRule="atLeast"/>
      <w:ind w:left="360" w:hanging="1"/>
      <w:jc w:val="left"/>
    </w:pPr>
    <w:rPr>
      <w:rFonts w:ascii="Georgia" w:hAnsi="Georgia"/>
      <w:sz w:val="20"/>
      <w:szCs w:val="20"/>
    </w:rPr>
  </w:style>
  <w:style w:type="paragraph" w:styleId="Numeroelenco">
    <w:name w:val="List Number"/>
    <w:basedOn w:val="Normale"/>
    <w:pPr>
      <w:numPr>
        <w:numId w:val="9"/>
      </w:numPr>
      <w:ind w:left="-1" w:hanging="1"/>
    </w:pPr>
  </w:style>
  <w:style w:type="character" w:customStyle="1" w:styleId="NormalBoldChar">
    <w:name w:val="NormalBold Char"/>
    <w:rPr>
      <w:rFonts w:ascii="Times New Roman" w:eastAsia="Times New Roman" w:hAnsi="Times New Roman" w:cs="Times New Roman"/>
      <w:b/>
      <w:w w:val="100"/>
      <w:position w:val="-1"/>
      <w:sz w:val="24"/>
      <w:effect w:val="none"/>
      <w:vertAlign w:val="baseline"/>
      <w:cs w:val="0"/>
      <w:em w:val="none"/>
      <w:lang w:eastAsia="it-IT" w:bidi="it-IT"/>
    </w:rPr>
  </w:style>
  <w:style w:type="character" w:customStyle="1" w:styleId="DeltaViewInsertion">
    <w:name w:val="DeltaView Insertion"/>
    <w:rPr>
      <w:b/>
      <w:i/>
      <w:spacing w:val="0"/>
      <w:w w:val="100"/>
      <w:position w:val="-1"/>
      <w:effect w:val="none"/>
      <w:vertAlign w:val="baseline"/>
      <w:cs w:val="0"/>
      <w:em w:val="none"/>
    </w:rPr>
  </w:style>
  <w:style w:type="character" w:customStyle="1" w:styleId="Caratterenotaapidipagina">
    <w:name w:val="Carattere nota a piè di pagina"/>
    <w:rPr>
      <w:w w:val="100"/>
      <w:position w:val="-1"/>
      <w:effect w:val="none"/>
      <w:vertAlign w:val="baseline"/>
      <w:cs w:val="0"/>
      <w:em w:val="none"/>
    </w:rPr>
  </w:style>
  <w:style w:type="paragraph" w:customStyle="1" w:styleId="NormalLeft">
    <w:name w:val="Normal Left"/>
    <w:basedOn w:val="Normale"/>
    <w:pPr>
      <w:suppressAutoHyphens w:val="0"/>
      <w:spacing w:line="240" w:lineRule="auto"/>
      <w:jc w:val="left"/>
    </w:pPr>
    <w:rPr>
      <w:color w:val="00000A"/>
      <w:kern w:val="1"/>
      <w:szCs w:val="22"/>
      <w:lang w:bidi="it-IT"/>
    </w:rPr>
  </w:style>
  <w:style w:type="paragraph" w:customStyle="1" w:styleId="Tiret0">
    <w:name w:val="Tiret 0"/>
    <w:basedOn w:val="Normale"/>
    <w:pPr>
      <w:suppressAutoHyphens w:val="0"/>
      <w:spacing w:line="240" w:lineRule="auto"/>
      <w:jc w:val="left"/>
    </w:pPr>
    <w:rPr>
      <w:color w:val="00000A"/>
      <w:kern w:val="1"/>
      <w:szCs w:val="22"/>
      <w:lang w:bidi="it-IT"/>
    </w:rPr>
  </w:style>
  <w:style w:type="paragraph" w:customStyle="1" w:styleId="Tiret1">
    <w:name w:val="Tiret 1"/>
    <w:basedOn w:val="Normale"/>
    <w:pPr>
      <w:suppressAutoHyphens w:val="0"/>
      <w:spacing w:line="240" w:lineRule="auto"/>
      <w:jc w:val="left"/>
    </w:pPr>
    <w:rPr>
      <w:color w:val="00000A"/>
      <w:kern w:val="1"/>
      <w:szCs w:val="22"/>
      <w:lang w:bidi="it-IT"/>
    </w:rPr>
  </w:style>
  <w:style w:type="paragraph" w:customStyle="1" w:styleId="NumPar1">
    <w:name w:val="NumPar 1"/>
    <w:basedOn w:val="Normale"/>
    <w:pPr>
      <w:suppressAutoHyphens w:val="0"/>
      <w:spacing w:line="240" w:lineRule="auto"/>
      <w:jc w:val="left"/>
    </w:pPr>
    <w:rPr>
      <w:color w:val="00000A"/>
      <w:kern w:val="1"/>
      <w:szCs w:val="22"/>
      <w:lang w:bidi="it-IT"/>
    </w:rPr>
  </w:style>
  <w:style w:type="paragraph" w:customStyle="1" w:styleId="SectionTitle">
    <w:name w:val="SectionTitle"/>
    <w:basedOn w:val="Normale"/>
    <w:pPr>
      <w:keepNext/>
      <w:suppressAutoHyphens w:val="0"/>
      <w:spacing w:after="360" w:line="240" w:lineRule="auto"/>
      <w:jc w:val="center"/>
    </w:pPr>
    <w:rPr>
      <w:b/>
      <w:smallCaps/>
      <w:color w:val="00000A"/>
      <w:kern w:val="1"/>
      <w:sz w:val="28"/>
      <w:szCs w:val="22"/>
      <w:lang w:bidi="it-IT"/>
    </w:rPr>
  </w:style>
  <w:style w:type="paragraph" w:customStyle="1" w:styleId="NormalWeb1">
    <w:name w:val="Normal (Web)1"/>
    <w:basedOn w:val="Normale"/>
    <w:pPr>
      <w:suppressAutoHyphens w:val="0"/>
      <w:spacing w:before="280" w:after="280" w:line="240" w:lineRule="auto"/>
      <w:jc w:val="left"/>
    </w:pPr>
    <w:rPr>
      <w:color w:val="00000A"/>
      <w:kern w:val="1"/>
    </w:rPr>
  </w:style>
  <w:style w:type="paragraph" w:styleId="Paragrafoelenco">
    <w:name w:val="List Paragraph"/>
    <w:basedOn w:val="Normale"/>
    <w:pPr>
      <w:ind w:left="720"/>
    </w:pPr>
  </w:style>
  <w:style w:type="paragraph" w:styleId="Corpotesto">
    <w:name w:val="Body Text"/>
    <w:basedOn w:val="Normale"/>
  </w:style>
  <w:style w:type="character" w:customStyle="1" w:styleId="CorpotestoCarattere">
    <w:name w:val="Corpo testo Carattere"/>
    <w:rPr>
      <w:w w:val="100"/>
      <w:position w:val="-1"/>
      <w:sz w:val="24"/>
      <w:szCs w:val="24"/>
      <w:effect w:val="none"/>
      <w:vertAlign w:val="baseline"/>
      <w:cs w:val="0"/>
      <w:em w:val="none"/>
      <w:lang w:val="it-IT" w:eastAsia="it-IT"/>
    </w:rPr>
  </w:style>
  <w:style w:type="character" w:customStyle="1" w:styleId="TitoloCarattere">
    <w:name w:val="Titolo Carattere"/>
    <w:rPr>
      <w:rFonts w:ascii="Arial" w:hAnsi="Arial"/>
      <w:b/>
      <w:w w:val="100"/>
      <w:position w:val="-1"/>
      <w:sz w:val="36"/>
      <w:effect w:val="none"/>
      <w:vertAlign w:val="baseline"/>
      <w:cs w:val="0"/>
      <w:em w:val="none"/>
      <w:lang w:val="it-IT" w:eastAsia="it-IT"/>
    </w:rPr>
  </w:style>
  <w:style w:type="character" w:customStyle="1" w:styleId="ParagrafoelencoCarattere">
    <w:name w:val="Paragrafo elenco Carattere"/>
    <w:rPr>
      <w:w w:val="100"/>
      <w:position w:val="-1"/>
      <w:sz w:val="24"/>
      <w:szCs w:val="24"/>
      <w:effect w:val="none"/>
      <w:vertAlign w:val="baseline"/>
      <w:cs w:val="0"/>
      <w:em w:val="none"/>
    </w:rPr>
  </w:style>
  <w:style w:type="paragraph" w:styleId="Revisione">
    <w:name w:val="Revision"/>
    <w:pPr>
      <w:suppressAutoHyphens/>
      <w:spacing w:line="1" w:lineRule="atLeast"/>
      <w:ind w:leftChars="-1" w:left="-1" w:hangingChars="1"/>
      <w:textDirection w:val="btLr"/>
      <w:textAlignment w:val="top"/>
      <w:outlineLvl w:val="0"/>
    </w:pPr>
    <w:rPr>
      <w:position w:val="-1"/>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DA47B0"/>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uiPriority w:val="99"/>
    <w:rsid w:val="00DA47B0"/>
    <w:rPr>
      <w:position w:val="-1"/>
      <w:sz w:val="24"/>
      <w:szCs w:val="24"/>
    </w:r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474722">
      <w:bodyDiv w:val="1"/>
      <w:marLeft w:val="0"/>
      <w:marRight w:val="0"/>
      <w:marTop w:val="0"/>
      <w:marBottom w:val="0"/>
      <w:divBdr>
        <w:top w:val="none" w:sz="0" w:space="0" w:color="auto"/>
        <w:left w:val="none" w:sz="0" w:space="0" w:color="auto"/>
        <w:bottom w:val="none" w:sz="0" w:space="0" w:color="auto"/>
        <w:right w:val="none" w:sz="0" w:space="0" w:color="auto"/>
      </w:divBdr>
    </w:div>
    <w:div w:id="299919042">
      <w:bodyDiv w:val="1"/>
      <w:marLeft w:val="0"/>
      <w:marRight w:val="0"/>
      <w:marTop w:val="0"/>
      <w:marBottom w:val="0"/>
      <w:divBdr>
        <w:top w:val="none" w:sz="0" w:space="0" w:color="auto"/>
        <w:left w:val="none" w:sz="0" w:space="0" w:color="auto"/>
        <w:bottom w:val="none" w:sz="0" w:space="0" w:color="auto"/>
        <w:right w:val="none" w:sz="0" w:space="0" w:color="auto"/>
      </w:divBdr>
    </w:div>
    <w:div w:id="353465228">
      <w:bodyDiv w:val="1"/>
      <w:marLeft w:val="0"/>
      <w:marRight w:val="0"/>
      <w:marTop w:val="0"/>
      <w:marBottom w:val="0"/>
      <w:divBdr>
        <w:top w:val="none" w:sz="0" w:space="0" w:color="auto"/>
        <w:left w:val="none" w:sz="0" w:space="0" w:color="auto"/>
        <w:bottom w:val="none" w:sz="0" w:space="0" w:color="auto"/>
        <w:right w:val="none" w:sz="0" w:space="0" w:color="auto"/>
      </w:divBdr>
    </w:div>
    <w:div w:id="475806446">
      <w:bodyDiv w:val="1"/>
      <w:marLeft w:val="0"/>
      <w:marRight w:val="0"/>
      <w:marTop w:val="0"/>
      <w:marBottom w:val="0"/>
      <w:divBdr>
        <w:top w:val="none" w:sz="0" w:space="0" w:color="auto"/>
        <w:left w:val="none" w:sz="0" w:space="0" w:color="auto"/>
        <w:bottom w:val="none" w:sz="0" w:space="0" w:color="auto"/>
        <w:right w:val="none" w:sz="0" w:space="0" w:color="auto"/>
      </w:divBdr>
    </w:div>
    <w:div w:id="799149068">
      <w:bodyDiv w:val="1"/>
      <w:marLeft w:val="0"/>
      <w:marRight w:val="0"/>
      <w:marTop w:val="0"/>
      <w:marBottom w:val="0"/>
      <w:divBdr>
        <w:top w:val="none" w:sz="0" w:space="0" w:color="auto"/>
        <w:left w:val="none" w:sz="0" w:space="0" w:color="auto"/>
        <w:bottom w:val="none" w:sz="0" w:space="0" w:color="auto"/>
        <w:right w:val="none" w:sz="0" w:space="0" w:color="auto"/>
      </w:divBdr>
    </w:div>
    <w:div w:id="1999263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zxqoegpAVxb89ynSvG/CYqf5YA==">CgMxLjAyCGguZ2pkZ3hzMgppZC4xZm9iOXRlMgloLjJldDkycDAyCGgudHlqY3d0MgloLjNkeTZ2a20yCWguMXQzaDVzZjgAciExV08tLS1sNmFwMXRrMnFnU05fLWgyczJCSTlvWXJJbjg=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4007</Words>
  <Characters>22843</Characters>
  <Application>Microsoft Office Word</Application>
  <DocSecurity>0</DocSecurity>
  <Lines>190</Lines>
  <Paragraphs>53</Paragraphs>
  <ScaleCrop>false</ScaleCrop>
  <Company/>
  <LinksUpToDate>false</LinksUpToDate>
  <CharactersWithSpaces>26797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Gianluca</dc:creator>
  <cp:lastModifiedBy>rosy.poerio</cp:lastModifiedBy>
  <cp:revision>15</cp:revision>
  <dcterms:created xsi:type="dcterms:W3CDTF">2023-11-03T12:40:00Z</dcterms:created>
  <dcterms:modified xsi:type="dcterms:W3CDTF">2025-09-15T14:55:00Z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2021-05-21T14:08:35Z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415cc640-0e24-4ea6-89e6-c66114009255</vt:lpwstr>
  </property>
  <property fmtid="{D5CDD505-2E9C-101B-9397-08002B2CF9AE}" pid="8" name="MSIP_Label_ea60d57e-af5b-4752-ac57-3e4f28ca11dc_ContentBits">
    <vt:lpwstr>0</vt:lpwstr>
  </property>
  <property fmtid="{D5CDD505-2E9C-101B-9397-08002B2CF9AE}" pid="9" name="ContentTypeId">
    <vt:lpwstr>0x010100B7F5878A8A7DDD428C860C26924914D4</vt:lpwstr>
  </property>
</Properties>
</file>