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2AC3" w:rsidRDefault="00C22AC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hanging="2"/>
        <w:jc w:val="both"/>
        <w:rPr>
          <w:rFonts w:ascii="Titilium" w:eastAsia="Titilium" w:hAnsi="Titilium" w:cs="Titilium"/>
          <w:b/>
          <w:color w:val="1F1F24"/>
          <w:sz w:val="21"/>
          <w:szCs w:val="21"/>
          <w:highlight w:val="white"/>
        </w:rPr>
      </w:pPr>
      <w:bookmarkStart w:id="0" w:name="_heading=h.gjdgxs" w:colFirst="0" w:colLast="0"/>
      <w:bookmarkEnd w:id="0"/>
    </w:p>
    <w:p w:rsidR="00615525" w:rsidRPr="00615525" w:rsidRDefault="00615525" w:rsidP="0061552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Chars="0" w:left="0" w:firstLineChars="0" w:firstLine="0"/>
        <w:jc w:val="both"/>
        <w:rPr>
          <w:rFonts w:ascii="Titillium" w:eastAsia="Titilium" w:hAnsi="Titillium" w:cs="Titilium"/>
          <w:b/>
          <w:sz w:val="21"/>
          <w:szCs w:val="21"/>
        </w:rPr>
      </w:pPr>
      <w:r w:rsidRPr="00615525">
        <w:rPr>
          <w:rFonts w:ascii="Titillium" w:eastAsia="Titilium" w:hAnsi="Titillium" w:cs="Titilium"/>
          <w:b/>
          <w:sz w:val="21"/>
          <w:szCs w:val="21"/>
        </w:rPr>
        <w:t xml:space="preserve">Affidamento diretto </w:t>
      </w:r>
      <w:r w:rsidRPr="00615525">
        <w:rPr>
          <w:rFonts w:ascii="Titillium" w:eastAsia="Titilium" w:hAnsi="Titillium" w:cs="Titilium"/>
          <w:b/>
          <w:bCs/>
          <w:sz w:val="21"/>
          <w:szCs w:val="21"/>
          <w:lang w:val="it"/>
        </w:rPr>
        <w:t>fornitura di materiale ed installazione della nuova movimentazione e della nuova linea focale del ramo est/ovest dell’antenna “Croce del Nord” presso la stazione Radioastronomica di Medicina (BO)</w:t>
      </w:r>
      <w:r w:rsidRPr="00615525">
        <w:rPr>
          <w:rFonts w:ascii="Titillium" w:eastAsia="Titilium" w:hAnsi="Titillium" w:cs="Titilium"/>
          <w:b/>
          <w:bCs/>
          <w:sz w:val="21"/>
          <w:szCs w:val="21"/>
        </w:rPr>
        <w:t>,</w:t>
      </w:r>
      <w:r w:rsidRPr="00615525">
        <w:rPr>
          <w:rFonts w:ascii="Titillium" w:eastAsia="Titilium" w:hAnsi="Titillium" w:cs="Titilium"/>
          <w:b/>
          <w:sz w:val="21"/>
          <w:szCs w:val="21"/>
        </w:rPr>
        <w:t xml:space="preserve"> per le esigenze del Progetto PNRR - IR0000026 </w:t>
      </w:r>
      <w:proofErr w:type="spellStart"/>
      <w:r w:rsidRPr="00615525">
        <w:rPr>
          <w:rFonts w:ascii="Titillium" w:eastAsia="Titilium" w:hAnsi="Titillium" w:cs="Titilium"/>
          <w:b/>
          <w:sz w:val="21"/>
          <w:szCs w:val="21"/>
        </w:rPr>
        <w:t>NextGeneration</w:t>
      </w:r>
      <w:proofErr w:type="spellEnd"/>
      <w:r w:rsidRPr="00615525">
        <w:rPr>
          <w:rFonts w:ascii="Titillium" w:eastAsia="Titilium" w:hAnsi="Titillium" w:cs="Titilium"/>
          <w:b/>
          <w:sz w:val="21"/>
          <w:szCs w:val="21"/>
        </w:rPr>
        <w:t xml:space="preserve"> Croce “NG-CROCE”, Codice Identificativo: IR0000026, Codice Unico di Progetto:  C53C22000880006, ammesso a finanziamento nell’ambito degli "</w:t>
      </w:r>
      <w:r w:rsidRPr="00615525">
        <w:rPr>
          <w:rFonts w:ascii="Titillium" w:eastAsia="Titilium" w:hAnsi="Titillium" w:cs="Titilium"/>
          <w:b/>
          <w:i/>
          <w:sz w:val="21"/>
          <w:szCs w:val="21"/>
        </w:rPr>
        <w:t>Interventi</w:t>
      </w:r>
      <w:r w:rsidRPr="00615525">
        <w:rPr>
          <w:rFonts w:ascii="Titillium" w:eastAsia="Titilium" w:hAnsi="Titillium" w:cs="Titilium"/>
          <w:b/>
          <w:sz w:val="21"/>
          <w:szCs w:val="21"/>
        </w:rPr>
        <w:t>" previsti dalla "</w:t>
      </w:r>
      <w:r w:rsidRPr="00615525">
        <w:rPr>
          <w:rFonts w:ascii="Titillium" w:eastAsia="Titilium" w:hAnsi="Titillium" w:cs="Titilium"/>
          <w:b/>
          <w:i/>
          <w:sz w:val="21"/>
          <w:szCs w:val="21"/>
        </w:rPr>
        <w:t>Missione 4</w:t>
      </w:r>
      <w:r w:rsidRPr="00615525">
        <w:rPr>
          <w:rFonts w:ascii="Titillium" w:eastAsia="Titilium" w:hAnsi="Titillium" w:cs="Titilium"/>
          <w:b/>
          <w:sz w:val="21"/>
          <w:szCs w:val="21"/>
        </w:rPr>
        <w:t>", denominata "</w:t>
      </w:r>
      <w:r w:rsidRPr="00615525">
        <w:rPr>
          <w:rFonts w:ascii="Titillium" w:eastAsia="Titilium" w:hAnsi="Titillium" w:cs="Titilium"/>
          <w:b/>
          <w:i/>
          <w:sz w:val="21"/>
          <w:szCs w:val="21"/>
        </w:rPr>
        <w:t>Istruzione e Ricerca</w:t>
      </w:r>
      <w:r w:rsidRPr="00615525">
        <w:rPr>
          <w:rFonts w:ascii="Titillium" w:eastAsia="Titilium" w:hAnsi="Titillium" w:cs="Titilium"/>
          <w:b/>
          <w:sz w:val="21"/>
          <w:szCs w:val="21"/>
        </w:rPr>
        <w:t>", "</w:t>
      </w:r>
      <w:r w:rsidRPr="00615525">
        <w:rPr>
          <w:rFonts w:ascii="Titillium" w:eastAsia="Titilium" w:hAnsi="Titillium" w:cs="Titilium"/>
          <w:b/>
          <w:i/>
          <w:sz w:val="21"/>
          <w:szCs w:val="21"/>
        </w:rPr>
        <w:t>Componente 2</w:t>
      </w:r>
      <w:r w:rsidRPr="00615525">
        <w:rPr>
          <w:rFonts w:ascii="Titillium" w:eastAsia="Titilium" w:hAnsi="Titillium" w:cs="Titilium"/>
          <w:b/>
          <w:sz w:val="21"/>
          <w:szCs w:val="21"/>
        </w:rPr>
        <w:t>", denominata "</w:t>
      </w:r>
      <w:r w:rsidRPr="00615525">
        <w:rPr>
          <w:rFonts w:ascii="Titillium" w:eastAsia="Titilium" w:hAnsi="Titillium" w:cs="Titilium"/>
          <w:b/>
          <w:i/>
          <w:sz w:val="21"/>
          <w:szCs w:val="21"/>
        </w:rPr>
        <w:t>Dalla Ricerca alla Impresa</w:t>
      </w:r>
      <w:r w:rsidRPr="00615525">
        <w:rPr>
          <w:rFonts w:ascii="Titillium" w:eastAsia="Titilium" w:hAnsi="Titillium" w:cs="Titilium"/>
          <w:b/>
          <w:sz w:val="21"/>
          <w:szCs w:val="21"/>
        </w:rPr>
        <w:t>" ("</w:t>
      </w:r>
      <w:r w:rsidRPr="00615525">
        <w:rPr>
          <w:rFonts w:ascii="Titillium" w:eastAsia="Titilium" w:hAnsi="Titillium" w:cs="Titilium"/>
          <w:b/>
          <w:i/>
          <w:sz w:val="21"/>
          <w:szCs w:val="21"/>
        </w:rPr>
        <w:t>M4C2</w:t>
      </w:r>
      <w:r w:rsidRPr="00615525">
        <w:rPr>
          <w:rFonts w:ascii="Titillium" w:eastAsia="Titilium" w:hAnsi="Titillium" w:cs="Titilium"/>
          <w:b/>
          <w:sz w:val="21"/>
          <w:szCs w:val="21"/>
        </w:rPr>
        <w:t xml:space="preserve">"), </w:t>
      </w:r>
      <w:r w:rsidRPr="00615525">
        <w:rPr>
          <w:rFonts w:ascii="Titillium" w:eastAsia="Titilium" w:hAnsi="Titillium" w:cs="Titilium"/>
          <w:b/>
          <w:i/>
          <w:sz w:val="21"/>
          <w:szCs w:val="21"/>
        </w:rPr>
        <w:t>Linea di Investimento 3.1", denominata "Rafforzamento e creazione di Infrastrutture di Ricerca", del "Piano Nazionale di Ripresa e Resilienza”</w:t>
      </w:r>
      <w:r w:rsidRPr="00615525">
        <w:rPr>
          <w:rFonts w:ascii="Titillium" w:eastAsia="Titilium" w:hAnsi="Titillium" w:cs="Titilium"/>
          <w:b/>
          <w:sz w:val="21"/>
          <w:szCs w:val="21"/>
        </w:rPr>
        <w:t>.</w:t>
      </w:r>
    </w:p>
    <w:p w:rsidR="00615525" w:rsidRPr="00615525" w:rsidRDefault="00615525" w:rsidP="0061552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Chars="0" w:left="0" w:firstLineChars="0" w:firstLine="0"/>
        <w:jc w:val="both"/>
        <w:rPr>
          <w:rFonts w:ascii="Titillium" w:eastAsia="Titilium" w:hAnsi="Titillium" w:cs="Titilium"/>
          <w:b/>
          <w:sz w:val="21"/>
          <w:szCs w:val="21"/>
        </w:rPr>
      </w:pPr>
      <w:r w:rsidRPr="00615525">
        <w:rPr>
          <w:rFonts w:ascii="Titillium" w:eastAsia="Titilium" w:hAnsi="Titillium" w:cs="Titilium"/>
          <w:b/>
          <w:sz w:val="21"/>
          <w:szCs w:val="21"/>
        </w:rPr>
        <w:t>CUP: C53C22000880006</w:t>
      </w:r>
    </w:p>
    <w:p w:rsidR="006C5994" w:rsidRDefault="006C5994" w:rsidP="00C22AC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Chars="0" w:left="0" w:firstLineChars="0" w:firstLine="0"/>
        <w:jc w:val="both"/>
        <w:rPr>
          <w:rFonts w:ascii="Titilium" w:eastAsia="Titilium" w:hAnsi="Titilium" w:cs="Titilium"/>
          <w:color w:val="1F1F24"/>
          <w:sz w:val="21"/>
          <w:szCs w:val="21"/>
          <w:highlight w:val="white"/>
        </w:rPr>
      </w:pPr>
      <w:bookmarkStart w:id="1" w:name="_GoBack"/>
      <w:bookmarkEnd w:id="1"/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hanging="2"/>
        <w:jc w:val="both"/>
        <w:rPr>
          <w:rFonts w:ascii="Titilium" w:eastAsia="Titilium" w:hAnsi="Titilium" w:cs="Titilium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Il presente documento costituisce parte integrante dell’affidamento</w:t>
      </w:r>
      <w:r>
        <w:rPr>
          <w:rFonts w:ascii="Titilium" w:eastAsia="Titilium" w:hAnsi="Titilium" w:cs="Titilium"/>
          <w:sz w:val="21"/>
          <w:szCs w:val="21"/>
          <w:highlight w:val="white"/>
        </w:rPr>
        <w:t xml:space="preserve"> ai sensi di legge.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Il presente documento deve essere obbligatoriamente sottoscritto dal Titolare o dal Rappresentante Legale di ciascun partecipante alla procedura e costituirà parte integrante del contratto che sarà stipulato tra lo “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>Istituto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” e l’aggiudicatario.</w:t>
      </w:r>
    </w:p>
    <w:p w:rsidR="00F4145F" w:rsidRDefault="00F4145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tilium" w:eastAsia="Titilium" w:hAnsi="Titilium" w:cs="Titilium"/>
          <w:color w:val="000000"/>
          <w:sz w:val="21"/>
          <w:szCs w:val="21"/>
          <w:highlight w:val="white"/>
          <w:u w:val="single"/>
        </w:rPr>
      </w:pP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tilium" w:eastAsia="Titilium" w:hAnsi="Titilium" w:cs="Titilium"/>
          <w:color w:val="000000"/>
          <w:sz w:val="21"/>
          <w:szCs w:val="21"/>
          <w:highlight w:val="white"/>
          <w:u w:val="single"/>
        </w:rPr>
      </w:pPr>
      <w:r>
        <w:rPr>
          <w:rFonts w:ascii="Titilium" w:eastAsia="Titilium" w:hAnsi="Titilium" w:cs="Titilium"/>
          <w:b/>
          <w:color w:val="000000"/>
          <w:sz w:val="21"/>
          <w:szCs w:val="21"/>
          <w:highlight w:val="white"/>
          <w:u w:val="single"/>
        </w:rPr>
        <w:t>Patto di integrità</w:t>
      </w:r>
    </w:p>
    <w:p w:rsidR="00F4145F" w:rsidRDefault="00F4145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tilium" w:eastAsia="Titilium" w:hAnsi="Titilium" w:cs="Titilium"/>
          <w:color w:val="000000"/>
          <w:sz w:val="21"/>
          <w:szCs w:val="21"/>
          <w:highlight w:val="white"/>
          <w:u w:val="single"/>
        </w:rPr>
      </w:pP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Tra lo "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>Istituto Nazionale di Astrofisica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"</w:t>
      </w:r>
      <w:r>
        <w:rPr>
          <w:rFonts w:ascii="Titilium" w:eastAsia="Titilium" w:hAnsi="Titilium" w:cs="Titilium"/>
          <w:b/>
          <w:color w:val="000000"/>
          <w:sz w:val="21"/>
          <w:szCs w:val="21"/>
          <w:highlight w:val="white"/>
        </w:rPr>
        <w:t xml:space="preserve"> 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 xml:space="preserve">nel seguito denominato 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>Istituto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E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(Denominazione operatore economico________________________________________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Sede legale: ____________________________________________________________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Codice fiscale: ___________________________________________________________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Partita IVA_______________________________________________________________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Rappresentata da: _______________________________________________________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Nato a: ___________________il_________________________, in qualità di: ___________________________________Munito dei relativi poteri</w:t>
      </w:r>
    </w:p>
    <w:p w:rsidR="00F4145F" w:rsidRDefault="00F4145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  <w:u w:val="single"/>
        </w:rPr>
      </w:pPr>
      <w:r>
        <w:rPr>
          <w:rFonts w:ascii="Titilium" w:eastAsia="Titilium" w:hAnsi="Titilium" w:cs="Titilium"/>
          <w:b/>
          <w:color w:val="000000"/>
          <w:sz w:val="21"/>
          <w:szCs w:val="21"/>
          <w:highlight w:val="white"/>
        </w:rPr>
        <w:t>Premesso</w:t>
      </w:r>
    </w:p>
    <w:p w:rsidR="00F4145F" w:rsidRDefault="00C4564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lastRenderedPageBreak/>
        <w:t>Che per "Patto di Integrità" si intende un accordo avente ad oggetto la regolamentazione del comportamento ispirato ai principi di lealtà, trasparenza e correttezza, nonché l'espresso impegno anticorruzione di non offrire, accettare o richiedere somme di denaro o qualsiasi altra ricompensa, vantaggio o beneficio, sia direttamente che indirettamente, tramite intermediari, al fine dell'assegnazione del contratto e/o al fine di distorcerne la relativa corretta esecuzione;</w:t>
      </w:r>
    </w:p>
    <w:p w:rsidR="00F4145F" w:rsidRDefault="00C4564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Che con l'inserimento del "Patto di Integrità" nella documentazione di gara si intende garantire una leale concorrenza e pari opportunità di successo a tutti i partecipanti, nonché garantire una corretta e trasparente esecuzione del procedimento di selezione e affidamento;</w:t>
      </w:r>
    </w:p>
    <w:p w:rsidR="00F4145F" w:rsidRDefault="00C4564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Che lo “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>Istituto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”, in adesione ai principi della trasparenza delle attività amministrative, secondo le modalità e condizioni indicate di seguito, verificherà l'applicazione del "Patto di Integrità" sia da parte dei partecipanti alla Trattativa, sia da parte dei propri dipendenti, collaboratori e consulenti impegnati ad ogni livello dell'espletamento della gara e nel controllo dell'esecuzione del relativo contratto.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b/>
          <w:color w:val="000000"/>
          <w:sz w:val="21"/>
          <w:szCs w:val="21"/>
          <w:highlight w:val="white"/>
        </w:rPr>
        <w:t>Visti</w:t>
      </w:r>
    </w:p>
    <w:p w:rsidR="00F4145F" w:rsidRDefault="00F4145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</w:p>
    <w:p w:rsidR="00F4145F" w:rsidRDefault="00C4564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La Legge 6 novembre 2012 n. 190, articolo 1, comma 17, che contiene "</w:t>
      </w:r>
      <w:r>
        <w:rPr>
          <w:rFonts w:ascii="Titilium" w:eastAsia="Titilium" w:hAnsi="Titilium" w:cs="Titilium"/>
          <w:i/>
          <w:color w:val="000000"/>
          <w:sz w:val="21"/>
          <w:szCs w:val="21"/>
          <w:highlight w:val="white"/>
        </w:rPr>
        <w:t>Disposizioni per la prevenzione e la repressione della corruzione e dell'illegalità nella pubblica amministrazione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";</w:t>
      </w:r>
    </w:p>
    <w:p w:rsidR="00F4145F" w:rsidRDefault="00C4564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Il Decreto Legislativo 25 maggio 2016, numero 97, che contiene la “</w:t>
      </w:r>
      <w:r>
        <w:rPr>
          <w:rFonts w:ascii="Titilium" w:eastAsia="Titilium" w:hAnsi="Titilium" w:cs="Titilium"/>
          <w:i/>
          <w:color w:val="000000"/>
          <w:sz w:val="21"/>
          <w:szCs w:val="21"/>
          <w:highlight w:val="white"/>
        </w:rPr>
        <w:t>Revisione e semplificazione delle disposizioni in materia di prevenzione della corruzione, pubblicità e trasparenza, correttivo della legge 6 novembre 2012, n. 190, e del decreto legislativo 14 marzo 2013, n. 33, ai sensi dell’art.7 della legge 7 agosto 2015, n. 124, in materia di riorganizzazione delle amministrazioni pubbliche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”;</w:t>
      </w:r>
    </w:p>
    <w:p w:rsidR="00F4145F" w:rsidRDefault="00C45645">
      <w:pPr>
        <w:numPr>
          <w:ilvl w:val="0"/>
          <w:numId w:val="2"/>
        </w:numPr>
        <w:spacing w:line="360" w:lineRule="auto"/>
        <w:ind w:left="0" w:hanging="2"/>
        <w:jc w:val="both"/>
        <w:rPr>
          <w:rFonts w:ascii="Titilium" w:eastAsia="Titilium" w:hAnsi="Titilium" w:cs="Titilium"/>
          <w:sz w:val="21"/>
          <w:szCs w:val="21"/>
          <w:highlight w:val="white"/>
        </w:rPr>
      </w:pPr>
      <w:r>
        <w:rPr>
          <w:rFonts w:ascii="Titilium" w:eastAsia="Titilium" w:hAnsi="Titilium" w:cs="Titilium"/>
          <w:sz w:val="21"/>
          <w:szCs w:val="21"/>
          <w:highlight w:val="white"/>
        </w:rPr>
        <w:t>Decreto legislativo 31 marzo 2023, n. 36,  “</w:t>
      </w:r>
      <w:r>
        <w:rPr>
          <w:rFonts w:ascii="Titilium" w:eastAsia="Titilium" w:hAnsi="Titilium" w:cs="Titilium"/>
          <w:i/>
          <w:sz w:val="21"/>
          <w:szCs w:val="21"/>
          <w:highlight w:val="white"/>
        </w:rPr>
        <w:t>Codice dei contratti pubblici”</w:t>
      </w:r>
      <w:r>
        <w:rPr>
          <w:rFonts w:ascii="Titilium" w:eastAsia="Titilium" w:hAnsi="Titilium" w:cs="Titilium"/>
          <w:sz w:val="21"/>
          <w:szCs w:val="21"/>
          <w:highlight w:val="white"/>
        </w:rPr>
        <w:t xml:space="preserve"> in attuazione dell'</w:t>
      </w:r>
      <w:hyperlink r:id="rId8" w:anchor="_inizio">
        <w:r>
          <w:rPr>
            <w:rFonts w:ascii="Titilium" w:eastAsia="Titilium" w:hAnsi="Titilium" w:cs="Titilium"/>
            <w:sz w:val="21"/>
            <w:szCs w:val="21"/>
            <w:highlight w:val="white"/>
          </w:rPr>
          <w:t>articolo 1 della legge 21 giugno 2022, n. 78</w:t>
        </w:r>
      </w:hyperlink>
      <w:r>
        <w:rPr>
          <w:rFonts w:ascii="Titilium" w:eastAsia="Titilium" w:hAnsi="Titilium" w:cs="Titilium"/>
          <w:sz w:val="21"/>
          <w:szCs w:val="21"/>
          <w:highlight w:val="white"/>
        </w:rPr>
        <w:t>, recante delega al Governo in materia di contratti pubblici, pubblicato in  G.U. n. 77 del 31 marzo 2023 - S.O. n. 12;</w:t>
      </w:r>
    </w:p>
    <w:p w:rsidR="00F4145F" w:rsidRDefault="00C4564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Il “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>Piano Nazionale Anticorruzione 2022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”, approvato dalla “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>Autorità Nazionale Anticorruzione</w:t>
      </w:r>
      <w:r>
        <w:rPr>
          <w:rFonts w:ascii="Titilium" w:eastAsia="Titilium" w:hAnsi="Titilium" w:cs="Titilium"/>
          <w:i/>
          <w:color w:val="000000"/>
          <w:sz w:val="21"/>
          <w:szCs w:val="21"/>
          <w:highlight w:val="white"/>
        </w:rPr>
        <w:t>”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 xml:space="preserve"> 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(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>ANAC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), con Delibera del 17 gennaio 2023, numero 7;</w:t>
      </w:r>
    </w:p>
    <w:p w:rsidR="00F4145F" w:rsidRDefault="00C4564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Il “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>Piano integrato di attività e organizzazione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” 2023-2025 dello “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>Istituto Nazionale di Astrofisica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” approvato con Delibera del Consiglio di Amministrazione del 31 marzo 2023, numero 19;</w:t>
      </w:r>
    </w:p>
    <w:p w:rsidR="00F4145F" w:rsidRDefault="00C4564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Il Decreto del Presidente della Repubblica 16 aprile 2013, numero 62, con il quale è stato emanato il "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>Regolamento recante il codice di comportamento dei dipendenti pubblici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".</w:t>
      </w:r>
    </w:p>
    <w:p w:rsidR="00F4145F" w:rsidRDefault="00C4564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Il “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>Codice di comportamento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” dello “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>Istituto Nazionale di Astrofisica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” approvato con Delibera del Consiglio di Amministrazione del 4 novembre 2015, numero 18.</w:t>
      </w:r>
    </w:p>
    <w:p w:rsidR="00F4145F" w:rsidRDefault="00F4145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  <w:u w:val="single"/>
        </w:rPr>
      </w:pP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  <w:u w:val="single"/>
        </w:rPr>
        <w:t>Si conviene quanto segue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:</w:t>
      </w:r>
    </w:p>
    <w:p w:rsidR="00F4145F" w:rsidRDefault="00F4145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bookmarkStart w:id="2" w:name="_heading=h.30j0zll" w:colFirst="0" w:colLast="0"/>
      <w:bookmarkEnd w:id="2"/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b/>
          <w:color w:val="000000"/>
          <w:sz w:val="21"/>
          <w:szCs w:val="21"/>
          <w:highlight w:val="white"/>
        </w:rPr>
        <w:t>Articolo 1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Il “</w:t>
      </w:r>
      <w:r>
        <w:rPr>
          <w:rFonts w:ascii="Titilium" w:eastAsia="Titilium" w:hAnsi="Titilium" w:cs="Titilium"/>
          <w:i/>
          <w:color w:val="000000"/>
          <w:sz w:val="21"/>
          <w:szCs w:val="21"/>
          <w:highlight w:val="white"/>
        </w:rPr>
        <w:t>Patto di Integrità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” deve essere presentato insieme alla documentazione richiesta a corredo della offerta. L’assenza di questo documento, debitamente sottoscritto, comporterà l'esclusione dalla gara.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b/>
          <w:color w:val="000000"/>
          <w:sz w:val="21"/>
          <w:szCs w:val="21"/>
          <w:highlight w:val="white"/>
        </w:rPr>
        <w:t>Articolo 2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Il “</w:t>
      </w:r>
      <w:r>
        <w:rPr>
          <w:rFonts w:ascii="Titilium" w:eastAsia="Titilium" w:hAnsi="Titilium" w:cs="Titilium"/>
          <w:i/>
          <w:color w:val="000000"/>
          <w:sz w:val="21"/>
          <w:szCs w:val="21"/>
          <w:highlight w:val="white"/>
        </w:rPr>
        <w:t>Patto di Integrità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 xml:space="preserve">” costituirà parte integrante di qualsiasi contratto stipulato con l’Ente. 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b/>
          <w:color w:val="000000"/>
          <w:sz w:val="21"/>
          <w:szCs w:val="21"/>
          <w:highlight w:val="white"/>
        </w:rPr>
        <w:t>Articolo 3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Il “</w:t>
      </w:r>
      <w:r>
        <w:rPr>
          <w:rFonts w:ascii="Titilium" w:eastAsia="Titilium" w:hAnsi="Titilium" w:cs="Titilium"/>
          <w:i/>
          <w:color w:val="000000"/>
          <w:sz w:val="21"/>
          <w:szCs w:val="21"/>
          <w:highlight w:val="white"/>
        </w:rPr>
        <w:t>Patto di Integrità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” stabilisce la reciproca, formale obbligazione dello “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>Istituto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 xml:space="preserve">” e di tutti i potenziali contraenti a conformare i propri comportamenti ai principi di lealtà, trasparenza e correttezza nonché l'espresso impegno anticorruzione, consistente, tra l'altro, nel non offrire, accettare o richiedere somme di denaro o qualsiasi altra ricompensa, vantaggio o beneficio, sia direttamente che indirettamente tramite intermediari, al fine dell'assegnazione del contratto e/o al fine di distorcerne la relativa corretta esecuzione o valutazione da parte della stazione appaltante. 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b/>
          <w:color w:val="000000"/>
          <w:sz w:val="21"/>
          <w:szCs w:val="21"/>
          <w:highlight w:val="white"/>
        </w:rPr>
        <w:t>Articolo 4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Lo “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>Istituto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” si impegna a pubblicare sul sito istituzionale i dati, le informazioni e i documenti inerenti la gara, ai sensi del Decreto Legislativo 14 marzo 2013, numero 33.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b/>
          <w:color w:val="000000"/>
          <w:sz w:val="21"/>
          <w:szCs w:val="21"/>
          <w:highlight w:val="white"/>
        </w:rPr>
        <w:t>Articolo 5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Il sottoscritto operatore economico si impegna a segnalare allo “</w:t>
      </w:r>
      <w:r>
        <w:rPr>
          <w:rFonts w:ascii="Titilium" w:eastAsia="Titilium" w:hAnsi="Titilium" w:cs="Titilium"/>
          <w:b/>
          <w:i/>
          <w:color w:val="000000"/>
          <w:sz w:val="21"/>
          <w:szCs w:val="21"/>
          <w:highlight w:val="white"/>
        </w:rPr>
        <w:t>Istituto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” qualsiasi tentativo di turbativa, irregolarità o distorsione nelle fasi di svolgimento della gara e/o durante l'esecuzione del contratto, da parte di ogni interessato o addetto o di chiunque possa influenzare le decisioni di gara o di contratto.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b/>
          <w:color w:val="000000"/>
          <w:sz w:val="21"/>
          <w:szCs w:val="21"/>
          <w:highlight w:val="white"/>
        </w:rPr>
        <w:t>Articolo 6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sz w:val="21"/>
          <w:szCs w:val="21"/>
          <w:highlight w:val="white"/>
        </w:rPr>
      </w:pPr>
      <w:r>
        <w:rPr>
          <w:rFonts w:ascii="Titilium" w:eastAsia="Titilium" w:hAnsi="Titilium" w:cs="Titilium"/>
          <w:sz w:val="21"/>
          <w:szCs w:val="21"/>
          <w:highlight w:val="white"/>
        </w:rPr>
        <w:t>Il sottoscritto operatore economico dichiara, altresì, che non si è accordato e non si accorderà con altri soggetti interessati all'assegnazione del contratto per limitare in alcun modo la concorrenza.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sz w:val="21"/>
          <w:szCs w:val="21"/>
          <w:highlight w:val="white"/>
        </w:rPr>
      </w:pPr>
      <w:r>
        <w:rPr>
          <w:rFonts w:ascii="Titilium" w:eastAsia="Titilium" w:hAnsi="Titilium" w:cs="Titilium"/>
          <w:sz w:val="21"/>
          <w:szCs w:val="21"/>
          <w:highlight w:val="white"/>
        </w:rPr>
        <w:t>L'operatore economico sarà altresì tenuto responsabile nei confronti dello “Istituto” del comportamento degli operatori economici a lui collegati.</w:t>
      </w:r>
    </w:p>
    <w:p w:rsidR="00F4145F" w:rsidRDefault="00F4145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sz w:val="21"/>
          <w:szCs w:val="21"/>
          <w:highlight w:val="white"/>
        </w:rPr>
      </w:pP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b/>
          <w:color w:val="000000"/>
          <w:sz w:val="21"/>
          <w:szCs w:val="21"/>
          <w:highlight w:val="white"/>
        </w:rPr>
        <w:t>Articolo 7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lastRenderedPageBreak/>
        <w:t>Il presente “</w:t>
      </w:r>
      <w:r>
        <w:rPr>
          <w:rFonts w:ascii="Titilium" w:eastAsia="Titilium" w:hAnsi="Titilium" w:cs="Titilium"/>
          <w:i/>
          <w:color w:val="000000"/>
          <w:sz w:val="21"/>
          <w:szCs w:val="21"/>
          <w:highlight w:val="white"/>
        </w:rPr>
        <w:t>Patto di Integrità</w:t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”, composto da quattro pagine, deve essere obbligatoriamente sottoscritto in calce dal legale rappresentante della Impresa che presenti domanda e, in caso di Raggruppamento Temporaneo di Imprese o di Consorzio non ancora costituiti, da tutti i soggetti che costituiranno, in seguito, il predetto Raggruppamento Temporaneo di Imprese o Consorzio.</w:t>
      </w:r>
    </w:p>
    <w:p w:rsidR="00F4145F" w:rsidRDefault="00F4145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>Luogo e data____________________________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  <w:t>Per la Impresa</w:t>
      </w:r>
    </w:p>
    <w:p w:rsidR="00F4145F" w:rsidRDefault="00C456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tilium" w:eastAsia="Titilium" w:hAnsi="Titilium" w:cs="Titilium"/>
          <w:color w:val="000000"/>
          <w:sz w:val="21"/>
          <w:szCs w:val="21"/>
          <w:highlight w:val="white"/>
        </w:rPr>
      </w:pP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</w:r>
      <w:r>
        <w:rPr>
          <w:rFonts w:ascii="Titilium" w:eastAsia="Titilium" w:hAnsi="Titilium" w:cs="Titilium"/>
          <w:color w:val="000000"/>
          <w:sz w:val="21"/>
          <w:szCs w:val="21"/>
          <w:highlight w:val="white"/>
        </w:rPr>
        <w:tab/>
        <w:t>(Firma del Legale Rappresentante)</w:t>
      </w:r>
    </w:p>
    <w:sectPr w:rsidR="00F4145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662C" w:rsidRDefault="005D662C">
      <w:pPr>
        <w:spacing w:after="0" w:line="240" w:lineRule="auto"/>
        <w:ind w:left="0" w:hanging="2"/>
      </w:pPr>
      <w:r>
        <w:separator/>
      </w:r>
    </w:p>
  </w:endnote>
  <w:endnote w:type="continuationSeparator" w:id="0">
    <w:p w:rsidR="005D662C" w:rsidRDefault="005D662C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tilium">
    <w:altName w:val="Times New Roman"/>
    <w:charset w:val="00"/>
    <w:family w:val="auto"/>
    <w:pitch w:val="default"/>
  </w:font>
  <w:font w:name="Titillium">
    <w:altName w:val="Calibri"/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145F" w:rsidRDefault="00F4145F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145F" w:rsidRDefault="00C45645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615525">
      <w:rPr>
        <w:noProof/>
        <w:color w:val="000000"/>
      </w:rPr>
      <w:t>2</w:t>
    </w:r>
    <w:r>
      <w:rPr>
        <w:color w:val="000000"/>
      </w:rPr>
      <w:fldChar w:fldCharType="end"/>
    </w:r>
  </w:p>
  <w:p w:rsidR="00F4145F" w:rsidRDefault="00F4145F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145F" w:rsidRDefault="00F4145F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662C" w:rsidRDefault="005D662C">
      <w:pPr>
        <w:spacing w:after="0" w:line="240" w:lineRule="auto"/>
        <w:ind w:left="0" w:hanging="2"/>
      </w:pPr>
      <w:r>
        <w:separator/>
      </w:r>
    </w:p>
  </w:footnote>
  <w:footnote w:type="continuationSeparator" w:id="0">
    <w:p w:rsidR="005D662C" w:rsidRDefault="005D662C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145F" w:rsidRDefault="00F4145F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145F" w:rsidRDefault="00EC5933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noProof/>
        <w:lang w:eastAsia="it-IT"/>
      </w:rPr>
      <w:drawing>
        <wp:anchor distT="0" distB="0" distL="114300" distR="114300" simplePos="0" relativeHeight="251658240" behindDoc="0" locked="0" layoutInCell="1" allowOverlap="1" wp14:anchorId="246FF283" wp14:editId="75B73EEA">
          <wp:simplePos x="0" y="0"/>
          <wp:positionH relativeFrom="page">
            <wp:align>left</wp:align>
          </wp:positionH>
          <wp:positionV relativeFrom="paragraph">
            <wp:posOffset>-449580</wp:posOffset>
          </wp:positionV>
          <wp:extent cx="7559040" cy="922020"/>
          <wp:effectExtent l="0" t="0" r="3810" b="0"/>
          <wp:wrapNone/>
          <wp:docPr id="102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9040" cy="92202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45645">
      <w:rPr>
        <w:color w:val="000000"/>
      </w:rPr>
      <w:tab/>
    </w:r>
  </w:p>
  <w:p w:rsidR="00F4145F" w:rsidRDefault="00F4145F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  <w:p w:rsidR="00F4145F" w:rsidRDefault="00C45645">
    <w:pPr>
      <w:pBdr>
        <w:top w:val="nil"/>
        <w:left w:val="nil"/>
        <w:bottom w:val="nil"/>
        <w:right w:val="nil"/>
        <w:between w:val="nil"/>
      </w:pBdr>
      <w:tabs>
        <w:tab w:val="center" w:pos="4320"/>
      </w:tabs>
      <w:spacing w:after="0" w:line="240" w:lineRule="auto"/>
      <w:ind w:left="0" w:hanging="2"/>
      <w:rPr>
        <w:rFonts w:ascii="Titilium" w:eastAsia="Titilium" w:hAnsi="Titilium" w:cs="Titilium"/>
        <w:color w:val="000000"/>
        <w:sz w:val="21"/>
        <w:szCs w:val="21"/>
      </w:rPr>
    </w:pPr>
    <w:r>
      <w:rPr>
        <w:color w:val="000000"/>
      </w:rPr>
      <w:t xml:space="preserve">                                                  </w:t>
    </w:r>
  </w:p>
  <w:p w:rsidR="00F4145F" w:rsidRDefault="00F4145F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  <w:p w:rsidR="00F4145F" w:rsidRDefault="00F4145F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145F" w:rsidRDefault="00F4145F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406C98"/>
    <w:multiLevelType w:val="multilevel"/>
    <w:tmpl w:val="9C3C2970"/>
    <w:lvl w:ilvl="0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70AF479A"/>
    <w:multiLevelType w:val="multilevel"/>
    <w:tmpl w:val="1FFC5FC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45F"/>
    <w:rsid w:val="00116599"/>
    <w:rsid w:val="00213251"/>
    <w:rsid w:val="0025465A"/>
    <w:rsid w:val="002860EF"/>
    <w:rsid w:val="002F12DA"/>
    <w:rsid w:val="00385A2B"/>
    <w:rsid w:val="005D662C"/>
    <w:rsid w:val="005F4B23"/>
    <w:rsid w:val="00615525"/>
    <w:rsid w:val="00660C71"/>
    <w:rsid w:val="00684466"/>
    <w:rsid w:val="006B0A2F"/>
    <w:rsid w:val="006C5994"/>
    <w:rsid w:val="00942AED"/>
    <w:rsid w:val="00AA3F6B"/>
    <w:rsid w:val="00AB3BCB"/>
    <w:rsid w:val="00C22AC3"/>
    <w:rsid w:val="00C45645"/>
    <w:rsid w:val="00C4626F"/>
    <w:rsid w:val="00D36585"/>
    <w:rsid w:val="00D75564"/>
    <w:rsid w:val="00EC5933"/>
    <w:rsid w:val="00F41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F7FC76-19FF-454C-B81E-E015C5E47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200" w:line="276" w:lineRule="auto"/>
        <w:ind w:hang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uppressAutoHyphens/>
      <w:ind w:leftChars="-1" w:left="-1" w:hangingChars="1"/>
      <w:textDirection w:val="btLr"/>
      <w:textAlignment w:val="top"/>
      <w:outlineLvl w:val="0"/>
    </w:pPr>
    <w:rPr>
      <w:position w:val="-1"/>
      <w:lang w:eastAsia="en-US"/>
    </w:rPr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spacing w:before="240" w:after="60"/>
      <w:outlineLvl w:val="4"/>
    </w:pPr>
    <w:rPr>
      <w:rFonts w:eastAsia="Times New Roman" w:cs="Times New Roman"/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uiPriority w:val="99"/>
    <w:qFormat/>
    <w:pPr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  <w:rPr>
      <w:w w:val="100"/>
      <w:position w:val="-1"/>
      <w:effect w:val="none"/>
      <w:vertAlign w:val="baseline"/>
      <w:cs w:val="0"/>
      <w:em w:val="none"/>
    </w:rPr>
  </w:style>
  <w:style w:type="paragraph" w:styleId="Pidipagina">
    <w:name w:val="footer"/>
    <w:basedOn w:val="Normale"/>
    <w:qFormat/>
    <w:pPr>
      <w:spacing w:after="0" w:line="240" w:lineRule="auto"/>
    </w:pPr>
  </w:style>
  <w:style w:type="character" w:customStyle="1" w:styleId="PidipaginaCarattere">
    <w:name w:val="Piè di pagina Carattere"/>
    <w:basedOn w:val="Carpredefinitoparagrafo"/>
    <w:rPr>
      <w:w w:val="100"/>
      <w:position w:val="-1"/>
      <w:effect w:val="none"/>
      <w:vertAlign w:val="baseline"/>
      <w:cs w:val="0"/>
      <w:em w:val="none"/>
    </w:rPr>
  </w:style>
  <w:style w:type="paragraph" w:styleId="Testofumetto">
    <w:name w:val="Balloon Text"/>
    <w:basedOn w:val="Normale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Paragrafoelenco">
    <w:name w:val="List Paragraph"/>
    <w:basedOn w:val="Normale"/>
    <w:pPr>
      <w:ind w:left="720"/>
      <w:contextualSpacing/>
    </w:pPr>
  </w:style>
  <w:style w:type="character" w:customStyle="1" w:styleId="Titolo5Carattere">
    <w:name w:val="Titolo 5 Carattere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  <w:lang w:val="it-IT"/>
    </w:rPr>
  </w:style>
  <w:style w:type="character" w:customStyle="1" w:styleId="Titolo2Carattere">
    <w:name w:val="Titolo 2 Carattere"/>
    <w:rPr>
      <w:rFonts w:ascii="Cambria" w:eastAsia="Times New Roman" w:hAnsi="Cambria"/>
      <w:b/>
      <w:bCs/>
      <w:i/>
      <w:iCs/>
      <w:w w:val="100"/>
      <w:position w:val="-1"/>
      <w:sz w:val="28"/>
      <w:szCs w:val="28"/>
      <w:effect w:val="none"/>
      <w:vertAlign w:val="baseline"/>
      <w:cs w:val="0"/>
      <w:em w:val="none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00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8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2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3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settiegatti.eu/info/norme/statali/2022_0078.htm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PcITsiZnzaXDQBi8mAHIA+LzDiw==">CgMxLjAyCGguZ2pkZ3hzMgloLjMwajB6bGw4AHIhMXVSY3RqaWhDNzVzazE3WkQyU3pZcmJ3Y3lPZEhsS3pZ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1012</Words>
  <Characters>5772</Characters>
  <Application>Microsoft Office Word</Application>
  <DocSecurity>0</DocSecurity>
  <Lines>48</Lines>
  <Paragraphs>13</Paragraphs>
  <ScaleCrop>false</ScaleCrop>
  <Company/>
  <LinksUpToDate>false</LinksUpToDate>
  <CharactersWithSpaces>6771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rosy.poerio</cp:lastModifiedBy>
  <cp:revision>12</cp:revision>
  <dcterms:created xsi:type="dcterms:W3CDTF">2023-11-03T11:21:00Z</dcterms:created>
  <dcterms:modified xsi:type="dcterms:W3CDTF">2025-09-15T14:55:00Z</dcterms:modified>
</cp:coreProperties>
</file>