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240" w:lineRule="auto"/>
        <w:ind w:left="11" w:right="6" w:hanging="11"/>
        <w:jc w:val="center"/>
        <w:rPr>
          <w:rFonts w:ascii="Titillium" w:cs="Titillium" w:eastAsia="Titillium" w:hAnsi="Titillium"/>
          <w:b w:val="1"/>
          <w:bCs w:val="1"/>
          <w:sz w:val="24"/>
          <w:szCs w:val="24"/>
        </w:rPr>
      </w:pPr>
      <w:r w:rsidDel="00000000" w:rsidR="00000000" w:rsidRPr="00000000">
        <w:rPr>
          <w:rFonts w:ascii="Titillium" w:cs="Titillium" w:eastAsia="Titillium" w:hAnsi="Titillium"/>
          <w:b w:val="1"/>
          <w:bCs w:val="1"/>
          <w:sz w:val="24"/>
          <w:szCs w:val="24"/>
          <w:rtl w:val="0"/>
        </w:rPr>
        <w:t xml:space="preserve">DICHIARAZIONE SOSTITUTIVA DI ATTO DI NOTORIETA’</w:t>
      </w:r>
    </w:p>
    <w:p w:rsidR="00000000" w:rsidDel="00000000" w:rsidP="00000000" w:rsidRDefault="00000000" w:rsidRPr="00000000" w14:paraId="00000002">
      <w:pPr>
        <w:spacing w:after="157" w:line="259" w:lineRule="auto"/>
        <w:ind w:right="3" w:firstLine="10"/>
        <w:jc w:val="center"/>
        <w:rPr>
          <w:rFonts w:ascii="Titillium" w:cs="Titillium" w:eastAsia="Titillium" w:hAnsi="Titillium"/>
          <w:sz w:val="20"/>
          <w:szCs w:val="20"/>
        </w:rPr>
      </w:pPr>
      <w:r w:rsidDel="00000000" w:rsidR="00000000" w:rsidRPr="00000000">
        <w:rPr>
          <w:rFonts w:ascii="Titillium" w:cs="Titillium" w:eastAsia="Titillium" w:hAnsi="Titillium"/>
          <w:sz w:val="20"/>
          <w:szCs w:val="20"/>
          <w:rtl w:val="0"/>
        </w:rPr>
        <w:t xml:space="preserve">(art. 19 e art. 47 D.P.R. 28 dicembre 2000 n. 445)</w:t>
      </w:r>
    </w:p>
    <w:p w:rsidR="00000000" w:rsidDel="00000000" w:rsidP="00000000" w:rsidRDefault="00000000" w:rsidRPr="00000000" w14:paraId="00000003">
      <w:pPr>
        <w:spacing w:after="0" w:before="360" w:line="259" w:lineRule="auto"/>
        <w:ind w:left="3828" w:right="2" w:firstLine="0"/>
        <w:jc w:val="left"/>
        <w:rPr>
          <w:rFonts w:ascii="Titillium" w:cs="Titillium" w:eastAsia="Titillium" w:hAnsi="Titillium"/>
          <w:b w:val="1"/>
          <w:bCs w:val="1"/>
          <w:sz w:val="24"/>
          <w:szCs w:val="24"/>
        </w:rPr>
      </w:pPr>
      <w:r w:rsidDel="00000000" w:rsidR="00000000" w:rsidRPr="00000000">
        <w:rPr>
          <w:rFonts w:ascii="Titillium" w:cs="Titillium" w:eastAsia="Titillium" w:hAnsi="Titillium"/>
          <w:rtl w:val="0"/>
        </w:rPr>
        <w:t xml:space="preserve">a:</w:t>
        <w:tab/>
      </w:r>
      <w:r w:rsidDel="00000000" w:rsidR="00000000" w:rsidRPr="00000000">
        <w:rPr>
          <w:rFonts w:ascii="Titillium" w:cs="Titillium" w:eastAsia="Titillium" w:hAnsi="Titillium"/>
          <w:b w:val="1"/>
          <w:bCs w:val="1"/>
          <w:rtl w:val="0"/>
        </w:rPr>
        <w:t xml:space="preserve">INAF - Osservatorio Astronomico di Cagliari</w:t>
      </w:r>
      <w:r w:rsidDel="00000000" w:rsidR="00000000" w:rsidRPr="00000000">
        <w:rPr>
          <w:rtl w:val="0"/>
        </w:rPr>
      </w:r>
    </w:p>
    <w:p w:rsidR="00000000" w:rsidDel="00000000" w:rsidP="00000000" w:rsidRDefault="00000000" w:rsidRPr="00000000" w14:paraId="00000004">
      <w:pPr>
        <w:spacing w:after="108" w:line="259" w:lineRule="auto"/>
        <w:ind w:left="3828" w:right="2" w:firstLine="0"/>
        <w:jc w:val="left"/>
        <w:rPr>
          <w:rFonts w:ascii="Titillium" w:cs="Titillium" w:eastAsia="Titillium" w:hAnsi="Titillium"/>
        </w:rPr>
      </w:pPr>
      <w:r w:rsidDel="00000000" w:rsidR="00000000" w:rsidRPr="00000000">
        <w:rPr>
          <w:rFonts w:ascii="Titillium" w:cs="Titillium" w:eastAsia="Titillium" w:hAnsi="Titillium"/>
          <w:i w:val="1"/>
          <w:iCs w:val="1"/>
          <w:rtl w:val="0"/>
        </w:rPr>
        <w:t xml:space="preserve">       via della Scienza 5 – 09047 Selargius (CA)</w:t>
      </w:r>
      <w:r w:rsidDel="00000000" w:rsidR="00000000" w:rsidRPr="00000000">
        <w:rPr>
          <w:rtl w:val="0"/>
        </w:rPr>
      </w:r>
    </w:p>
    <w:p w:rsidR="00000000" w:rsidDel="00000000" w:rsidP="00000000" w:rsidRDefault="00000000" w:rsidRPr="00000000" w14:paraId="00000005">
      <w:pPr>
        <w:spacing w:after="4" w:line="259" w:lineRule="auto"/>
        <w:ind w:left="52" w:firstLine="0"/>
        <w:jc w:val="center"/>
        <w:rPr>
          <w:rFonts w:ascii="Titillium" w:cs="Titillium" w:eastAsia="Titillium" w:hAnsi="Titillium"/>
        </w:rPr>
      </w:pPr>
      <w:r w:rsidDel="00000000" w:rsidR="00000000" w:rsidRPr="00000000">
        <w:rPr>
          <w:rtl w:val="0"/>
        </w:rPr>
      </w:r>
    </w:p>
    <w:p w:rsidR="00000000" w:rsidDel="00000000" w:rsidP="00000000" w:rsidRDefault="00000000" w:rsidRPr="00000000" w14:paraId="00000006">
      <w:pPr>
        <w:pStyle w:val="Heading1"/>
        <w:spacing w:after="240" w:lineRule="auto"/>
        <w:ind w:right="2"/>
        <w:rPr>
          <w:rFonts w:ascii="Titillium" w:cs="Titillium" w:eastAsia="Titillium" w:hAnsi="Titillium"/>
          <w:b w:val="0"/>
          <w:bCs w:val="0"/>
          <w:sz w:val="20"/>
          <w:szCs w:val="20"/>
        </w:rPr>
      </w:pPr>
      <w:r w:rsidDel="00000000" w:rsidR="00000000" w:rsidRPr="00000000">
        <w:rPr>
          <w:rFonts w:ascii="Titillium" w:cs="Titillium" w:eastAsia="Titillium" w:hAnsi="Titillium"/>
          <w:b w:val="0"/>
          <w:bCs w:val="0"/>
          <w:sz w:val="20"/>
          <w:szCs w:val="20"/>
          <w:rtl w:val="0"/>
        </w:rPr>
        <w:t xml:space="preserve">Procedura di affidamento di cui all’art. 50, comma 1, lettera b) del d.lgs. 36/2023</w:t>
      </w:r>
    </w:p>
    <w:p w:rsidR="00000000" w:rsidDel="00000000" w:rsidP="00000000" w:rsidRDefault="00000000" w:rsidRPr="00000000" w14:paraId="00000007">
      <w:pPr>
        <w:spacing w:after="120" w:line="259" w:lineRule="auto"/>
        <w:ind w:left="61" w:firstLine="0"/>
        <w:rPr>
          <w:rFonts w:ascii="Titillium" w:cs="Titillium" w:eastAsia="Titillium" w:hAnsi="Titillium"/>
          <w:sz w:val="20"/>
          <w:szCs w:val="20"/>
        </w:rPr>
      </w:pPr>
      <w:bookmarkStart w:colFirst="0" w:colLast="0" w:name="_heading=h.gjdgxs" w:id="0"/>
      <w:bookmarkEnd w:id="0"/>
      <w:r w:rsidDel="00000000" w:rsidR="00000000" w:rsidRPr="00000000">
        <w:rPr>
          <w:rFonts w:ascii="Titillium" w:cs="Titillium" w:eastAsia="Titillium" w:hAnsi="Titillium"/>
          <w:b w:val="1"/>
          <w:bCs w:val="1"/>
          <w:sz w:val="24"/>
          <w:szCs w:val="24"/>
          <w:rtl w:val="0"/>
        </w:rPr>
        <w:t xml:space="preserve">Accordo quadro per il “Servizio specialistico di diagnostica e ripristino dei servo sistemi principali del Sardinia Radio Telescope, nonché eventuale componentistica specifica di ricambi, necessari per le esigenze operative del Sardinia Radio Telescope”</w:t>
      </w:r>
      <w:r w:rsidDel="00000000" w:rsidR="00000000" w:rsidRPr="00000000">
        <w:rPr>
          <w:rtl w:val="0"/>
        </w:rPr>
      </w:r>
    </w:p>
    <w:p w:rsidR="00000000" w:rsidDel="00000000" w:rsidP="00000000" w:rsidRDefault="00000000" w:rsidRPr="00000000" w14:paraId="00000008">
      <w:pPr>
        <w:spacing w:after="13" w:line="259" w:lineRule="auto"/>
        <w:ind w:left="0" w:firstLine="0"/>
        <w:jc w:val="left"/>
        <w:rPr>
          <w:rFonts w:ascii="Titillium" w:cs="Titillium" w:eastAsia="Titillium" w:hAnsi="Titillium"/>
        </w:rPr>
      </w:pPr>
      <w:r w:rsidDel="00000000" w:rsidR="00000000" w:rsidRPr="00000000">
        <w:rPr>
          <w:rtl w:val="0"/>
        </w:rPr>
      </w:r>
    </w:p>
    <w:p w:rsidR="00000000" w:rsidDel="00000000" w:rsidP="00000000" w:rsidRDefault="00000000" w:rsidRPr="00000000" w14:paraId="00000009">
      <w:pPr>
        <w:spacing w:after="0" w:line="360" w:lineRule="auto"/>
        <w:ind w:left="-5" w:hanging="11"/>
        <w:jc w:val="left"/>
        <w:rPr>
          <w:rFonts w:ascii="Titillium" w:cs="Titillium" w:eastAsia="Titillium" w:hAnsi="Titillium"/>
        </w:rPr>
      </w:pPr>
      <w:r w:rsidDel="00000000" w:rsidR="00000000" w:rsidRPr="00000000">
        <w:rPr>
          <w:rFonts w:ascii="Titillium" w:cs="Titillium" w:eastAsia="Titillium" w:hAnsi="Titillium"/>
          <w:rtl w:val="0"/>
        </w:rPr>
        <w:t xml:space="preserve">Ragione sociale del concorrente …………………………………………………………………………………………..</w:t>
      </w:r>
    </w:p>
    <w:p w:rsidR="00000000" w:rsidDel="00000000" w:rsidP="00000000" w:rsidRDefault="00000000" w:rsidRPr="00000000" w14:paraId="0000000A">
      <w:pPr>
        <w:spacing w:after="0" w:line="360" w:lineRule="auto"/>
        <w:ind w:left="-5" w:hanging="11"/>
        <w:jc w:val="left"/>
        <w:rPr>
          <w:rFonts w:ascii="Titillium" w:cs="Titillium" w:eastAsia="Titillium" w:hAnsi="Titillium"/>
        </w:rPr>
      </w:pPr>
      <w:r w:rsidDel="00000000" w:rsidR="00000000" w:rsidRPr="00000000">
        <w:rPr>
          <w:rFonts w:ascii="Titillium" w:cs="Titillium" w:eastAsia="Titillium" w:hAnsi="Titillium"/>
          <w:rtl w:val="0"/>
        </w:rPr>
        <w:t xml:space="preserve">Sede legale da visura camerale …………………………………………………………………………………………..</w:t>
      </w:r>
    </w:p>
    <w:p w:rsidR="00000000" w:rsidDel="00000000" w:rsidP="00000000" w:rsidRDefault="00000000" w:rsidRPr="00000000" w14:paraId="0000000B">
      <w:pPr>
        <w:spacing w:after="0" w:line="360" w:lineRule="auto"/>
        <w:ind w:left="-5" w:hanging="11"/>
        <w:jc w:val="left"/>
        <w:rPr>
          <w:rFonts w:ascii="Titillium" w:cs="Titillium" w:eastAsia="Titillium" w:hAnsi="Titillium"/>
        </w:rPr>
      </w:pPr>
      <w:r w:rsidDel="00000000" w:rsidR="00000000" w:rsidRPr="00000000">
        <w:rPr>
          <w:rFonts w:ascii="Titillium" w:cs="Titillium" w:eastAsia="Titillium" w:hAnsi="Titillium"/>
          <w:rtl w:val="0"/>
        </w:rPr>
        <w:t xml:space="preserve">Numero iscrizione CCIAA …………………………………………………………………………………………..</w:t>
      </w:r>
    </w:p>
    <w:p w:rsidR="00000000" w:rsidDel="00000000" w:rsidP="00000000" w:rsidRDefault="00000000" w:rsidRPr="00000000" w14:paraId="0000000C">
      <w:pPr>
        <w:spacing w:after="0" w:line="360" w:lineRule="auto"/>
        <w:ind w:left="-5" w:hanging="11"/>
        <w:jc w:val="left"/>
        <w:rPr>
          <w:rFonts w:ascii="Titillium" w:cs="Titillium" w:eastAsia="Titillium" w:hAnsi="Titillium"/>
        </w:rPr>
      </w:pPr>
      <w:r w:rsidDel="00000000" w:rsidR="00000000" w:rsidRPr="00000000">
        <w:rPr>
          <w:rFonts w:ascii="Titillium" w:cs="Titillium" w:eastAsia="Titillium" w:hAnsi="Titillium"/>
          <w:rtl w:val="0"/>
        </w:rPr>
        <w:t xml:space="preserve">Codice ATECO …………………………………………………………………………………………..</w:t>
      </w:r>
    </w:p>
    <w:p w:rsidR="00000000" w:rsidDel="00000000" w:rsidP="00000000" w:rsidRDefault="00000000" w:rsidRPr="00000000" w14:paraId="0000000D">
      <w:pPr>
        <w:spacing w:after="0" w:line="360" w:lineRule="auto"/>
        <w:ind w:left="-5" w:hanging="11"/>
        <w:jc w:val="left"/>
        <w:rPr>
          <w:rFonts w:ascii="Titillium" w:cs="Titillium" w:eastAsia="Titillium" w:hAnsi="Titillium"/>
        </w:rPr>
      </w:pPr>
      <w:r w:rsidDel="00000000" w:rsidR="00000000" w:rsidRPr="00000000">
        <w:rPr>
          <w:rFonts w:ascii="Titillium" w:cs="Titillium" w:eastAsia="Titillium" w:hAnsi="Titillium"/>
          <w:rtl w:val="0"/>
        </w:rPr>
        <w:t xml:space="preserve">Codice fiscale …………………………………………………………………………………………..</w:t>
      </w:r>
    </w:p>
    <w:p w:rsidR="00000000" w:rsidDel="00000000" w:rsidP="00000000" w:rsidRDefault="00000000" w:rsidRPr="00000000" w14:paraId="0000000E">
      <w:pPr>
        <w:spacing w:after="0" w:line="360" w:lineRule="auto"/>
        <w:ind w:left="-5" w:hanging="11"/>
        <w:jc w:val="left"/>
        <w:rPr>
          <w:rFonts w:ascii="Titillium" w:cs="Titillium" w:eastAsia="Titillium" w:hAnsi="Titillium"/>
        </w:rPr>
      </w:pPr>
      <w:r w:rsidDel="00000000" w:rsidR="00000000" w:rsidRPr="00000000">
        <w:rPr>
          <w:rFonts w:ascii="Titillium" w:cs="Titillium" w:eastAsia="Titillium" w:hAnsi="Titillium"/>
          <w:rtl w:val="0"/>
        </w:rPr>
        <w:t xml:space="preserve">Partita I.V.A. …………………………………………………………………………………………..</w:t>
      </w:r>
    </w:p>
    <w:p w:rsidR="00000000" w:rsidDel="00000000" w:rsidP="00000000" w:rsidRDefault="00000000" w:rsidRPr="00000000" w14:paraId="0000000F">
      <w:pPr>
        <w:spacing w:after="0" w:line="360" w:lineRule="auto"/>
        <w:ind w:left="-5" w:hanging="11"/>
        <w:jc w:val="left"/>
        <w:rPr>
          <w:rFonts w:ascii="Titillium" w:cs="Titillium" w:eastAsia="Titillium" w:hAnsi="Titillium"/>
        </w:rPr>
      </w:pPr>
      <w:r w:rsidDel="00000000" w:rsidR="00000000" w:rsidRPr="00000000">
        <w:rPr>
          <w:rFonts w:ascii="Titillium" w:cs="Titillium" w:eastAsia="Titillium" w:hAnsi="Titillium"/>
          <w:rtl w:val="0"/>
        </w:rPr>
        <w:t xml:space="preserve">PEC …………………………………………………………………………………………..</w:t>
      </w:r>
    </w:p>
    <w:p w:rsidR="00000000" w:rsidDel="00000000" w:rsidP="00000000" w:rsidRDefault="00000000" w:rsidRPr="00000000" w14:paraId="00000010">
      <w:pPr>
        <w:spacing w:after="0" w:line="360" w:lineRule="auto"/>
        <w:ind w:left="-5" w:hanging="11"/>
        <w:jc w:val="left"/>
        <w:rPr>
          <w:rFonts w:ascii="Titillium" w:cs="Titillium" w:eastAsia="Titillium" w:hAnsi="Titillium"/>
        </w:rPr>
      </w:pPr>
      <w:r w:rsidDel="00000000" w:rsidR="00000000" w:rsidRPr="00000000">
        <w:rPr>
          <w:rtl w:val="0"/>
        </w:rPr>
      </w:r>
    </w:p>
    <w:p w:rsidR="00000000" w:rsidDel="00000000" w:rsidP="00000000" w:rsidRDefault="00000000" w:rsidRPr="00000000" w14:paraId="00000011">
      <w:pPr>
        <w:spacing w:after="0" w:line="360" w:lineRule="auto"/>
        <w:ind w:left="-5" w:hanging="11"/>
        <w:jc w:val="left"/>
        <w:rPr>
          <w:rFonts w:ascii="Titillium" w:cs="Titillium" w:eastAsia="Titillium" w:hAnsi="Titillium"/>
        </w:rPr>
      </w:pPr>
      <w:r w:rsidDel="00000000" w:rsidR="00000000" w:rsidRPr="00000000">
        <w:rPr>
          <w:rFonts w:ascii="Titillium" w:cs="Titillium" w:eastAsia="Titillium" w:hAnsi="Titillium"/>
          <w:rtl w:val="0"/>
        </w:rPr>
        <w:t xml:space="preserve">La/Il sottoscritta/o …………………………………………………………………………………………..</w:t>
      </w:r>
    </w:p>
    <w:p w:rsidR="00000000" w:rsidDel="00000000" w:rsidP="00000000" w:rsidRDefault="00000000" w:rsidRPr="00000000" w14:paraId="00000012">
      <w:pPr>
        <w:spacing w:after="0" w:line="360" w:lineRule="auto"/>
        <w:ind w:left="-5" w:hanging="11"/>
        <w:jc w:val="left"/>
        <w:rPr>
          <w:rFonts w:ascii="Titillium" w:cs="Titillium" w:eastAsia="Titillium" w:hAnsi="Titillium"/>
        </w:rPr>
      </w:pPr>
      <w:r w:rsidDel="00000000" w:rsidR="00000000" w:rsidRPr="00000000">
        <w:rPr>
          <w:rFonts w:ascii="Titillium" w:cs="Titillium" w:eastAsia="Titillium" w:hAnsi="Titillium"/>
          <w:rtl w:val="0"/>
        </w:rPr>
        <w:t xml:space="preserve">nata/o a ………………………………… (prov. ……..) </w:t>
        <w:tab/>
        <w:t xml:space="preserve">il ……………………………………………………………………  </w:t>
      </w:r>
    </w:p>
    <w:p w:rsidR="00000000" w:rsidDel="00000000" w:rsidP="00000000" w:rsidRDefault="00000000" w:rsidRPr="00000000" w14:paraId="00000013">
      <w:pPr>
        <w:widowControl w:val="0"/>
        <w:spacing w:after="120" w:before="120" w:line="288" w:lineRule="auto"/>
        <w:ind w:left="11" w:hanging="11"/>
        <w:rPr>
          <w:rFonts w:ascii="Titillium" w:cs="Titillium" w:eastAsia="Titillium" w:hAnsi="Titillium"/>
        </w:rPr>
      </w:pPr>
      <w:r w:rsidDel="00000000" w:rsidR="00000000" w:rsidRPr="00000000">
        <w:rPr>
          <w:rFonts w:ascii="Titillium" w:cs="Titillium" w:eastAsia="Titillium" w:hAnsi="Titillium"/>
          <w:color w:val="000000"/>
          <w:rtl w:val="0"/>
        </w:rPr>
        <w:t xml:space="preserve">consapevole della responsabilità penale e delle conseguenti sanzioni cui può andare incontro in caso di dichiarazioni mendaci, falsità negli atti, uso di atti falsi, ai sensi dell’art. 76 del D.P.R. n. 445/2000 nonché della decadenza dai benefici eventualmente conseguiti in seguito a provvedimenti emessi sulla base di dichiarazioni non veritiere, così come previsto dall’art. 75 del D.P.R. n. 445/2000, </w:t>
      </w:r>
      <w:r w:rsidDel="00000000" w:rsidR="00000000" w:rsidRPr="00000000">
        <w:rPr>
          <w:rFonts w:ascii="Titillium" w:cs="Titillium" w:eastAsia="Titillium" w:hAnsi="Titillium"/>
          <w:rtl w:val="0"/>
        </w:rPr>
        <w:t xml:space="preserve">in qualità di </w:t>
      </w:r>
    </w:p>
    <w:p w:rsidR="00000000" w:rsidDel="00000000" w:rsidP="00000000" w:rsidRDefault="00000000" w:rsidRPr="00000000" w14:paraId="00000014">
      <w:pPr>
        <w:spacing w:line="480" w:lineRule="auto"/>
        <w:ind w:firstLine="10"/>
        <w:rPr>
          <w:rFonts w:ascii="Titillium" w:cs="Titillium" w:eastAsia="Titillium" w:hAnsi="Titillium"/>
        </w:rPr>
      </w:pPr>
      <w:sdt>
        <w:sdtPr>
          <w:id w:val="-1091246750"/>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cs="Titillium" w:eastAsia="Titillium" w:hAnsi="Titillium"/>
          <w:rtl w:val="0"/>
        </w:rPr>
        <w:t xml:space="preserve"> </w:t>
        <w:tab/>
        <w:t xml:space="preserve">Legale rappresentante</w:t>
      </w:r>
    </w:p>
    <w:p w:rsidR="00000000" w:rsidDel="00000000" w:rsidP="00000000" w:rsidRDefault="00000000" w:rsidRPr="00000000" w14:paraId="00000015">
      <w:pPr>
        <w:spacing w:line="480" w:lineRule="auto"/>
        <w:ind w:firstLine="10"/>
        <w:rPr>
          <w:rFonts w:ascii="Titillium" w:cs="Titillium" w:eastAsia="Titillium" w:hAnsi="Titillium"/>
        </w:rPr>
      </w:pPr>
      <w:sdt>
        <w:sdtPr>
          <w:id w:val="-228808918"/>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cs="Titillium" w:eastAsia="Titillium" w:hAnsi="Titillium"/>
          <w:rtl w:val="0"/>
        </w:rPr>
        <w:tab/>
        <w:t xml:space="preserve">Institore</w:t>
      </w:r>
    </w:p>
    <w:p w:rsidR="00000000" w:rsidDel="00000000" w:rsidP="00000000" w:rsidRDefault="00000000" w:rsidRPr="00000000" w14:paraId="00000016">
      <w:pPr>
        <w:spacing w:line="480" w:lineRule="auto"/>
        <w:ind w:firstLine="10"/>
        <w:rPr>
          <w:rFonts w:ascii="Titillium" w:cs="Titillium" w:eastAsia="Titillium" w:hAnsi="Titillium"/>
        </w:rPr>
      </w:pPr>
      <w:sdt>
        <w:sdtPr>
          <w:id w:val="1406466420"/>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cs="Titillium" w:eastAsia="Titillium" w:hAnsi="Titillium"/>
          <w:rtl w:val="0"/>
        </w:rPr>
        <w:tab/>
        <w:t xml:space="preserve">Procuratore speciale o generale con mandato di rappresentanza [ </w:t>
      </w:r>
      <w:r w:rsidDel="00000000" w:rsidR="00000000" w:rsidRPr="00000000">
        <w:rPr>
          <w:rFonts w:ascii="Titillium" w:cs="Titillium" w:eastAsia="Titillium" w:hAnsi="Titillium"/>
          <w:i w:val="1"/>
          <w:iCs w:val="1"/>
          <w:rtl w:val="0"/>
        </w:rPr>
        <w:t xml:space="preserve">allegare la procura</w:t>
      </w:r>
      <w:r w:rsidDel="00000000" w:rsidR="00000000" w:rsidRPr="00000000">
        <w:rPr>
          <w:rFonts w:ascii="Titillium" w:cs="Titillium" w:eastAsia="Titillium" w:hAnsi="Titillium"/>
          <w:rtl w:val="0"/>
        </w:rPr>
        <w:t xml:space="preserve"> ]</w:t>
      </w:r>
    </w:p>
    <w:p w:rsidR="00000000" w:rsidDel="00000000" w:rsidP="00000000" w:rsidRDefault="00000000" w:rsidRPr="00000000" w14:paraId="00000017">
      <w:pPr>
        <w:spacing w:line="480" w:lineRule="auto"/>
        <w:ind w:firstLine="10"/>
        <w:rPr>
          <w:rFonts w:ascii="Titillium" w:cs="Titillium" w:eastAsia="Titillium" w:hAnsi="Titillium"/>
        </w:rPr>
      </w:pPr>
      <w:sdt>
        <w:sdtPr>
          <w:id w:val="1805925912"/>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cs="Titillium" w:eastAsia="Titillium" w:hAnsi="Titillium"/>
          <w:rtl w:val="0"/>
        </w:rPr>
        <w:tab/>
        <w:t xml:space="preserve">altro (specificare dettaglio)</w:t>
      </w:r>
    </w:p>
    <w:p w:rsidR="00000000" w:rsidDel="00000000" w:rsidP="00000000" w:rsidRDefault="00000000" w:rsidRPr="00000000" w14:paraId="00000018">
      <w:pPr>
        <w:spacing w:after="120" w:before="120" w:line="480" w:lineRule="auto"/>
        <w:ind w:firstLine="10"/>
        <w:rPr>
          <w:rFonts w:ascii="Titillium" w:cs="Titillium" w:eastAsia="Titillium" w:hAnsi="Titillium"/>
        </w:rPr>
      </w:pPr>
      <w:r w:rsidDel="00000000" w:rsidR="00000000" w:rsidRPr="00000000">
        <w:rPr>
          <w:rFonts w:ascii="Titillium" w:cs="Titillium" w:eastAsia="Titillium" w:hAnsi="Titillium"/>
          <w:rtl w:val="0"/>
        </w:rPr>
        <w:t xml:space="preserve">del sopra specificato Operatore economico, presso cui elegge domicilio, di seguito denominata anche “Impresa”, ai sensi degli artt. 46 e 47 del D.P.R. 28.12.2000, n. 445,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w:t>
      </w:r>
    </w:p>
    <w:p w:rsidR="00000000" w:rsidDel="00000000" w:rsidP="00000000" w:rsidRDefault="00000000" w:rsidRPr="00000000" w14:paraId="00000019">
      <w:pPr>
        <w:pStyle w:val="Heading1"/>
        <w:spacing w:after="120" w:before="360" w:lineRule="auto"/>
        <w:rPr>
          <w:rFonts w:ascii="Titillium" w:cs="Titillium" w:eastAsia="Titillium" w:hAnsi="Titillium"/>
          <w:sz w:val="28"/>
          <w:szCs w:val="28"/>
        </w:rPr>
      </w:pPr>
      <w:r w:rsidDel="00000000" w:rsidR="00000000" w:rsidRPr="00000000">
        <w:rPr>
          <w:rFonts w:ascii="Titillium" w:cs="Titillium" w:eastAsia="Titillium" w:hAnsi="Titillium"/>
          <w:sz w:val="28"/>
          <w:szCs w:val="28"/>
          <w:rtl w:val="0"/>
        </w:rPr>
        <w:t xml:space="preserve">DICHIARA </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after="0" w:line="480" w:lineRule="auto"/>
        <w:ind w:left="567" w:hanging="425"/>
        <w:rPr>
          <w:rFonts w:ascii="Titillium" w:cs="Titillium" w:eastAsia="Titillium" w:hAnsi="Titillium"/>
        </w:rPr>
      </w:pPr>
      <w:bookmarkStart w:colFirst="0" w:colLast="0" w:name="_heading=h.30j0zll" w:id="1"/>
      <w:bookmarkEnd w:id="1"/>
      <w:r w:rsidDel="00000000" w:rsidR="00000000" w:rsidRPr="00000000">
        <w:rPr>
          <w:rFonts w:ascii="Titillium" w:cs="Titillium" w:eastAsia="Titillium" w:hAnsi="Titillium"/>
          <w:rtl w:val="0"/>
        </w:rPr>
        <w:t xml:space="preserve">di non incorrere nelle cause di esclusione di cui agli artt.  94, comma 1, lett. a), b), c), comma 3, comma 4, comma 5 lett. d), e) e comma 6, art. 96, commi 8 e 9, art. 98, comma 1, 2 e 3 del codice dei contratti pubblici (Codice), di cui al decreto legislativo 31 marzo 2023, n. 36;</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pacing w:after="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che tutte le certificazioni presentate sono conformi agli originali in possesso del dichiarante;</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pacing w:after="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con riferimento alle cause di esclusione non automatica previste dall’art. 95 del D.lgs. 36/2023:</w:t>
      </w:r>
    </w:p>
    <w:p w:rsidR="00000000" w:rsidDel="00000000" w:rsidP="00000000" w:rsidRDefault="00000000" w:rsidRPr="00000000" w14:paraId="0000001D">
      <w:pPr>
        <w:numPr>
          <w:ilvl w:val="0"/>
          <w:numId w:val="4"/>
        </w:numPr>
        <w:pBdr>
          <w:top w:space="0" w:sz="0" w:val="nil"/>
          <w:left w:space="0" w:sz="0" w:val="nil"/>
          <w:bottom w:space="0" w:sz="0" w:val="nil"/>
          <w:right w:space="0" w:sz="0" w:val="nil"/>
          <w:between w:space="0" w:sz="0" w:val="nil"/>
        </w:pBdr>
        <w:spacing w:after="0" w:line="480" w:lineRule="auto"/>
        <w:ind w:left="993" w:hanging="360"/>
        <w:rPr>
          <w:rFonts w:ascii="Titillium" w:cs="Titillium" w:eastAsia="Titillium" w:hAnsi="Titillium"/>
        </w:rPr>
      </w:pPr>
      <w:r w:rsidDel="00000000" w:rsidR="00000000" w:rsidRPr="00000000">
        <w:rPr>
          <w:rFonts w:ascii="Titillium" w:cs="Titillium" w:eastAsia="Titillium" w:hAnsi="Titillium"/>
          <w:rtl w:val="0"/>
        </w:rPr>
        <w:t xml:space="preserve">che l’operatore economico non ha commesso gravi infrazioni rispetto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spacing w:after="0" w:line="480" w:lineRule="auto"/>
        <w:ind w:left="993" w:hanging="360"/>
        <w:rPr>
          <w:rFonts w:ascii="Titillium" w:cs="Titillium" w:eastAsia="Titillium" w:hAnsi="Titillium"/>
        </w:rPr>
      </w:pPr>
      <w:r w:rsidDel="00000000" w:rsidR="00000000" w:rsidRPr="00000000">
        <w:rPr>
          <w:rFonts w:ascii="Titillium" w:cs="Titillium" w:eastAsia="Titillium" w:hAnsi="Titillium"/>
          <w:rtl w:val="0"/>
        </w:rPr>
        <w:t xml:space="preserve">che la propria partecipazione non determina una situazione di conflitto di interesse ai sensi dell’articolo 16 del D.lgs. 36/2023, non diversamente risolvibile;</w:t>
      </w:r>
    </w:p>
    <w:p w:rsidR="00000000" w:rsidDel="00000000" w:rsidP="00000000" w:rsidRDefault="00000000" w:rsidRPr="00000000" w14:paraId="0000001F">
      <w:pPr>
        <w:numPr>
          <w:ilvl w:val="0"/>
          <w:numId w:val="4"/>
        </w:numPr>
        <w:pBdr>
          <w:top w:space="0" w:sz="0" w:val="nil"/>
          <w:left w:space="0" w:sz="0" w:val="nil"/>
          <w:bottom w:space="0" w:sz="0" w:val="nil"/>
          <w:right w:space="0" w:sz="0" w:val="nil"/>
          <w:between w:space="0" w:sz="0" w:val="nil"/>
        </w:pBdr>
        <w:spacing w:after="0" w:line="480" w:lineRule="auto"/>
        <w:ind w:left="993" w:hanging="360"/>
        <w:rPr>
          <w:rFonts w:ascii="Titillium" w:cs="Titillium" w:eastAsia="Titillium" w:hAnsi="Titillium"/>
        </w:rPr>
      </w:pPr>
      <w:r w:rsidDel="00000000" w:rsidR="00000000" w:rsidRPr="00000000">
        <w:rPr>
          <w:rFonts w:ascii="Titillium" w:cs="Titillium" w:eastAsia="Titillium" w:hAnsi="Titillium"/>
          <w:rtl w:val="0"/>
        </w:rPr>
        <w:t xml:space="preserve">che la propria partecipazione non determina una distorsione della concorrenza derivante dal proprio precedente coinvolgimento nella preparazione della procedura d’appalto che non possa essere risolta con misure meno intrusive;</w:t>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spacing w:after="200" w:line="480" w:lineRule="auto"/>
        <w:ind w:left="993" w:hanging="360"/>
        <w:rPr>
          <w:rFonts w:ascii="Titillium" w:cs="Titillium" w:eastAsia="Titillium" w:hAnsi="Titillium"/>
        </w:rPr>
      </w:pPr>
      <w:r w:rsidDel="00000000" w:rsidR="00000000" w:rsidRPr="00000000">
        <w:rPr>
          <w:rFonts w:ascii="Titillium" w:cs="Titillium" w:eastAsia="Titillium" w:hAnsi="Titillium"/>
          <w:rtl w:val="0"/>
        </w:rPr>
        <w:t xml:space="preserve">che l’operatore economico non ha commesso illeciti professionali gravi tali da rendere dubbia la sua integrità o affidabilità;</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120" w:line="480" w:lineRule="auto"/>
        <w:ind w:left="567" w:hanging="425"/>
        <w:rPr>
          <w:rFonts w:ascii="Titillium" w:cs="Titillium" w:eastAsia="Titillium" w:hAnsi="Titillium"/>
          <w:sz w:val="21"/>
          <w:szCs w:val="21"/>
        </w:rPr>
      </w:pPr>
      <w:r w:rsidDel="00000000" w:rsidR="00000000" w:rsidRPr="00000000">
        <w:rPr>
          <w:rFonts w:ascii="Titillium" w:cs="Titillium" w:eastAsia="Titillium" w:hAnsi="Titillium"/>
          <w:rtl w:val="0"/>
        </w:rPr>
        <w:t xml:space="preserve">che i dati identificativi e l’elenco dei soggetti </w:t>
      </w:r>
      <w:r w:rsidDel="00000000" w:rsidR="00000000" w:rsidRPr="00000000">
        <w:rPr>
          <w:rFonts w:ascii="Titillium" w:cs="Titillium" w:eastAsia="Titillium" w:hAnsi="Titillium"/>
          <w:vertAlign w:val="superscript"/>
        </w:rPr>
        <w:footnoteReference w:customMarkFollows="0" w:id="0"/>
      </w:r>
      <w:r w:rsidDel="00000000" w:rsidR="00000000" w:rsidRPr="00000000">
        <w:rPr>
          <w:rFonts w:ascii="Titillium" w:cs="Titillium" w:eastAsia="Titillium" w:hAnsi="Titillium"/>
          <w:rtl w:val="0"/>
        </w:rPr>
        <w:t xml:space="preserve"> tenuti a rendere le dichiarazioni ai sensi degli artt. 94 (</w:t>
      </w:r>
      <w:r w:rsidDel="00000000" w:rsidR="00000000" w:rsidRPr="00000000">
        <w:rPr>
          <w:rFonts w:ascii="Titillium" w:cs="Titillium" w:eastAsia="Titillium" w:hAnsi="Titillium"/>
          <w:i w:val="1"/>
          <w:iCs w:val="1"/>
          <w:rtl w:val="0"/>
        </w:rPr>
        <w:t xml:space="preserve">Cause di esclusione automatica</w:t>
      </w:r>
      <w:r w:rsidDel="00000000" w:rsidR="00000000" w:rsidRPr="00000000">
        <w:rPr>
          <w:rFonts w:ascii="Titillium" w:cs="Titillium" w:eastAsia="Titillium" w:hAnsi="Titillium"/>
          <w:rtl w:val="0"/>
        </w:rPr>
        <w:t xml:space="preserve">), 95 (</w:t>
      </w:r>
      <w:r w:rsidDel="00000000" w:rsidR="00000000" w:rsidRPr="00000000">
        <w:rPr>
          <w:rFonts w:ascii="Titillium" w:cs="Titillium" w:eastAsia="Titillium" w:hAnsi="Titillium"/>
          <w:i w:val="1"/>
          <w:iCs w:val="1"/>
          <w:rtl w:val="0"/>
        </w:rPr>
        <w:t xml:space="preserve">Cause di esclusione non automatica</w:t>
      </w:r>
      <w:r w:rsidDel="00000000" w:rsidR="00000000" w:rsidRPr="00000000">
        <w:rPr>
          <w:rFonts w:ascii="Titillium" w:cs="Titillium" w:eastAsia="Titillium" w:hAnsi="Titillium"/>
          <w:rtl w:val="0"/>
        </w:rPr>
        <w:t xml:space="preserve">), 97 (</w:t>
      </w:r>
      <w:r w:rsidDel="00000000" w:rsidR="00000000" w:rsidRPr="00000000">
        <w:rPr>
          <w:rFonts w:ascii="Titillium" w:cs="Titillium" w:eastAsia="Titillium" w:hAnsi="Titillium"/>
          <w:i w:val="1"/>
          <w:iCs w:val="1"/>
          <w:rtl w:val="0"/>
        </w:rPr>
        <w:t xml:space="preserve">Cause di esclusione dei partecipanti ai raggruppamenti</w:t>
      </w:r>
      <w:r w:rsidDel="00000000" w:rsidR="00000000" w:rsidRPr="00000000">
        <w:rPr>
          <w:rFonts w:ascii="Titillium" w:cs="Titillium" w:eastAsia="Titillium" w:hAnsi="Titillium"/>
          <w:rtl w:val="0"/>
        </w:rPr>
        <w:t xml:space="preserve">) e 98 (</w:t>
      </w:r>
      <w:r w:rsidDel="00000000" w:rsidR="00000000" w:rsidRPr="00000000">
        <w:rPr>
          <w:rFonts w:ascii="Titillium" w:cs="Titillium" w:eastAsia="Titillium" w:hAnsi="Titillium"/>
          <w:i w:val="1"/>
          <w:iCs w:val="1"/>
          <w:rtl w:val="0"/>
        </w:rPr>
        <w:t xml:space="preserve">Illecito professionale grave</w:t>
      </w:r>
      <w:r w:rsidDel="00000000" w:rsidR="00000000" w:rsidRPr="00000000">
        <w:rPr>
          <w:rFonts w:ascii="Titillium" w:cs="Titillium" w:eastAsia="Titillium" w:hAnsi="Titillium"/>
          <w:rtl w:val="0"/>
        </w:rPr>
        <w:t xml:space="preserve">) del Codice sono i seguenti (cancellare le parti non pertinenti alla compagine e struttura della Società:</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480" w:lineRule="auto"/>
        <w:ind w:left="993" w:right="0" w:hanging="360"/>
        <w:jc w:val="both"/>
        <w:rPr>
          <w:rFonts w:ascii="Titillium" w:cs="Titillium" w:eastAsia="Titillium" w:hAnsi="Titillium"/>
          <w:b w:val="0"/>
          <w:bCs w:val="0"/>
          <w:i w:val="0"/>
          <w:iCs w:val="0"/>
          <w:smallCaps w:val="0"/>
          <w:strike w:val="0"/>
          <w:color w:val="000000"/>
          <w:sz w:val="21"/>
          <w:szCs w:val="21"/>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i soggetti </w:t>
      </w:r>
      <w:r w:rsidDel="00000000" w:rsidR="00000000" w:rsidRPr="00000000">
        <w:rPr>
          <w:rFonts w:ascii="Titillium" w:cs="Titillium" w:eastAsia="Titillium" w:hAnsi="Titillium"/>
          <w:b w:val="0"/>
          <w:bCs w:val="0"/>
          <w:i w:val="0"/>
          <w:iCs w:val="0"/>
          <w:smallCaps w:val="0"/>
          <w:strike w:val="0"/>
          <w:color w:val="000000"/>
          <w:sz w:val="22"/>
          <w:szCs w:val="22"/>
          <w:u w:val="none"/>
          <w:shd w:fill="auto" w:val="clear"/>
          <w:vertAlign w:val="baseline"/>
          <w:rtl w:val="0"/>
        </w:rPr>
        <w:t xml:space="preserve">titolari</w:t>
      </w: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 di poteri di amministrazione e rappresentanza,</w:t>
      </w:r>
      <w:r w:rsidDel="00000000" w:rsidR="00000000" w:rsidRPr="00000000">
        <w:rPr>
          <w:rFonts w:ascii="Titillium" w:cs="Titillium" w:eastAsia="Titillium" w:hAnsi="Titillium"/>
          <w:b w:val="0"/>
          <w:bCs w:val="0"/>
          <w:i w:val="0"/>
          <w:iCs w:val="0"/>
          <w:smallCaps w:val="0"/>
          <w:strike w:val="0"/>
          <w:color w:val="000000"/>
          <w:sz w:val="21"/>
          <w:szCs w:val="21"/>
          <w:u w:val="none"/>
          <w:shd w:fill="f5fdfe" w:val="clear"/>
          <w:vertAlign w:val="baseline"/>
          <w:rtl w:val="0"/>
        </w:rPr>
        <w:t xml:space="preserve"> </w:t>
      </w: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ivi compresi institori e procuratori generali</w:t>
      </w:r>
      <w:r w:rsidDel="00000000" w:rsidR="00000000" w:rsidRPr="00000000">
        <w:rPr>
          <w:rFonts w:ascii="Titillium" w:cs="Titillium" w:eastAsia="Titillium" w:hAnsi="Titillium"/>
          <w:b w:val="0"/>
          <w:bCs w:val="0"/>
          <w:i w:val="0"/>
          <w:iCs w:val="0"/>
          <w:smallCaps w:val="0"/>
          <w:strike w:val="0"/>
          <w:color w:val="000000"/>
          <w:sz w:val="21"/>
          <w:szCs w:val="21"/>
          <w:u w:val="none"/>
          <w:shd w:fill="f5fdfe" w:val="clear"/>
          <w:vertAlign w:val="baseline"/>
          <w:rtl w:val="0"/>
        </w:rPr>
        <w:t xml:space="preserve">, </w:t>
      </w: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nonché i poteri loro conferiti, sono: </w:t>
      </w:r>
    </w:p>
    <w:tbl>
      <w:tblPr>
        <w:tblStyle w:val="Table1"/>
        <w:tblW w:w="9781.0" w:type="dxa"/>
        <w:jc w:val="left"/>
        <w:tblInd w:w="-5.0" w:type="dxa"/>
        <w:tblLayout w:type="fixed"/>
        <w:tblLook w:val="0400"/>
      </w:tblPr>
      <w:tblGrid>
        <w:gridCol w:w="2127"/>
        <w:gridCol w:w="2126"/>
        <w:gridCol w:w="1559"/>
        <w:gridCol w:w="1843"/>
        <w:gridCol w:w="2126"/>
        <w:tblGridChange w:id="0">
          <w:tblGrid>
            <w:gridCol w:w="2127"/>
            <w:gridCol w:w="2126"/>
            <w:gridCol w:w="1559"/>
            <w:gridCol w:w="1843"/>
            <w:gridCol w:w="2126"/>
          </w:tblGrid>
        </w:tblGridChange>
      </w:tblGrid>
      <w:tr>
        <w:trPr>
          <w:cantSplit w:val="0"/>
          <w:trHeight w:val="57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3">
            <w:pPr>
              <w:spacing w:after="0" w:line="240" w:lineRule="auto"/>
              <w:ind w:left="25"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Nome e cognome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4">
            <w:pPr>
              <w:spacing w:after="0" w:line="240" w:lineRule="auto"/>
              <w:ind w:left="34"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Data e luogo di nascita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25">
            <w:pPr>
              <w:spacing w:after="0" w:line="240" w:lineRule="auto"/>
              <w:ind w:left="96" w:hanging="10.999999999999996"/>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Residenza</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26">
            <w:pPr>
              <w:spacing w:after="0" w:line="240" w:lineRule="auto"/>
              <w:ind w:left="0"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Codice fiscale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27">
            <w:pPr>
              <w:spacing w:after="0" w:line="240" w:lineRule="auto"/>
              <w:ind w:left="0" w:hanging="11"/>
              <w:jc w:val="left"/>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Poteri conferiti /</w:t>
              <w:br w:type="textWrapping"/>
              <w:t xml:space="preserve">qualifica</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spacing w:after="0" w:line="312" w:lineRule="auto"/>
              <w:ind w:left="567" w:firstLine="0"/>
              <w:rPr>
                <w:rFonts w:ascii="Titillium" w:cs="Titillium" w:eastAsia="Titillium" w:hAnsi="Titillium"/>
                <w:sz w:val="21"/>
                <w:szCs w:val="21"/>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0">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spacing w:after="0" w:line="312" w:lineRule="auto"/>
              <w:ind w:left="567" w:firstLine="0"/>
              <w:rPr>
                <w:rFonts w:ascii="Titillium" w:cs="Titillium" w:eastAsia="Titillium" w:hAnsi="Titillium"/>
                <w:sz w:val="21"/>
                <w:szCs w:val="21"/>
              </w:rPr>
            </w:pPr>
            <w:r w:rsidDel="00000000" w:rsidR="00000000" w:rsidRPr="00000000">
              <w:rPr>
                <w:rtl w:val="0"/>
              </w:rPr>
            </w:r>
          </w:p>
        </w:tc>
      </w:tr>
    </w:tbl>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240" w:line="240" w:lineRule="auto"/>
        <w:ind w:left="992" w:right="0" w:hanging="357"/>
        <w:jc w:val="both"/>
        <w:rPr>
          <w:rFonts w:ascii="Titillium" w:cs="Titillium" w:eastAsia="Titillium" w:hAnsi="Titillium"/>
          <w:b w:val="0"/>
          <w:bCs w:val="0"/>
          <w:i w:val="0"/>
          <w:iCs w:val="0"/>
          <w:smallCaps w:val="0"/>
          <w:strike w:val="0"/>
          <w:color w:val="000000"/>
          <w:sz w:val="21"/>
          <w:szCs w:val="21"/>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i componenti degli organi con poteri di direzione o di vigilanza sono:</w:t>
      </w:r>
    </w:p>
    <w:tbl>
      <w:tblPr>
        <w:tblStyle w:val="Table2"/>
        <w:tblW w:w="9781.0" w:type="dxa"/>
        <w:jc w:val="left"/>
        <w:tblInd w:w="-5.0" w:type="dxa"/>
        <w:tblLayout w:type="fixed"/>
        <w:tblLook w:val="0400"/>
      </w:tblPr>
      <w:tblGrid>
        <w:gridCol w:w="2127"/>
        <w:gridCol w:w="2126"/>
        <w:gridCol w:w="1559"/>
        <w:gridCol w:w="1843"/>
        <w:gridCol w:w="2126"/>
        <w:tblGridChange w:id="0">
          <w:tblGrid>
            <w:gridCol w:w="2127"/>
            <w:gridCol w:w="2126"/>
            <w:gridCol w:w="1559"/>
            <w:gridCol w:w="1843"/>
            <w:gridCol w:w="2126"/>
          </w:tblGrid>
        </w:tblGridChange>
      </w:tblGrid>
      <w:tr>
        <w:trPr>
          <w:cantSplit w:val="0"/>
          <w:trHeight w:val="57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spacing w:after="0" w:line="240" w:lineRule="auto"/>
              <w:ind w:left="25"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Nome e cognome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spacing w:after="0" w:line="240" w:lineRule="auto"/>
              <w:ind w:left="34"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Data e luogo di nascita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35">
            <w:pPr>
              <w:spacing w:after="0" w:line="240" w:lineRule="auto"/>
              <w:ind w:left="96" w:hanging="10.999999999999996"/>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Residenza</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36">
            <w:pPr>
              <w:spacing w:after="0" w:line="240" w:lineRule="auto"/>
              <w:ind w:left="0"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Codice fiscale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37">
            <w:pPr>
              <w:spacing w:after="0" w:line="240" w:lineRule="auto"/>
              <w:ind w:left="0" w:hanging="11"/>
              <w:jc w:val="left"/>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Poteri conferiti /</w:t>
              <w:br w:type="textWrapping"/>
              <w:t xml:space="preserve">qualifica</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C">
            <w:pPr>
              <w:spacing w:after="0" w:line="312" w:lineRule="auto"/>
              <w:ind w:left="567" w:firstLine="0"/>
              <w:rPr>
                <w:rFonts w:ascii="Titillium" w:cs="Titillium" w:eastAsia="Titillium" w:hAnsi="Titillium"/>
                <w:sz w:val="21"/>
                <w:szCs w:val="21"/>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0">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spacing w:after="0" w:line="312" w:lineRule="auto"/>
              <w:ind w:left="567" w:firstLine="0"/>
              <w:rPr>
                <w:rFonts w:ascii="Titillium" w:cs="Titillium" w:eastAsia="Titillium" w:hAnsi="Titillium"/>
                <w:sz w:val="21"/>
                <w:szCs w:val="21"/>
              </w:rPr>
            </w:pPr>
            <w:r w:rsidDel="00000000" w:rsidR="00000000" w:rsidRPr="00000000">
              <w:rPr>
                <w:rtl w:val="0"/>
              </w:rPr>
            </w:r>
          </w:p>
        </w:tc>
      </w:tr>
    </w:tbl>
    <w:p w:rsidR="00000000" w:rsidDel="00000000" w:rsidP="00000000" w:rsidRDefault="00000000" w:rsidRPr="00000000" w14:paraId="0000004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240" w:line="240" w:lineRule="auto"/>
        <w:ind w:left="992" w:right="0" w:hanging="357"/>
        <w:jc w:val="both"/>
        <w:rPr>
          <w:rFonts w:ascii="Titillium" w:cs="Titillium" w:eastAsia="Titillium" w:hAnsi="Titillium"/>
          <w:b w:val="0"/>
          <w:bCs w:val="0"/>
          <w:i w:val="0"/>
          <w:iCs w:val="0"/>
          <w:smallCaps w:val="0"/>
          <w:strike w:val="0"/>
          <w:color w:val="000000"/>
          <w:sz w:val="21"/>
          <w:szCs w:val="21"/>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i soggetti muniti di poteri di rappresentanza, di direzione o di controllo sono:</w:t>
      </w:r>
    </w:p>
    <w:tbl>
      <w:tblPr>
        <w:tblStyle w:val="Table3"/>
        <w:tblW w:w="9781.0" w:type="dxa"/>
        <w:jc w:val="left"/>
        <w:tblInd w:w="-5.0" w:type="dxa"/>
        <w:tblLayout w:type="fixed"/>
        <w:tblLook w:val="0400"/>
      </w:tblPr>
      <w:tblGrid>
        <w:gridCol w:w="2127"/>
        <w:gridCol w:w="2126"/>
        <w:gridCol w:w="1559"/>
        <w:gridCol w:w="1843"/>
        <w:gridCol w:w="2126"/>
        <w:tblGridChange w:id="0">
          <w:tblGrid>
            <w:gridCol w:w="2127"/>
            <w:gridCol w:w="2126"/>
            <w:gridCol w:w="1559"/>
            <w:gridCol w:w="1843"/>
            <w:gridCol w:w="2126"/>
          </w:tblGrid>
        </w:tblGridChange>
      </w:tblGrid>
      <w:tr>
        <w:trPr>
          <w:cantSplit w:val="0"/>
          <w:trHeight w:val="57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spacing w:after="0" w:line="240" w:lineRule="auto"/>
              <w:ind w:left="25"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Nome e cognome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spacing w:after="0" w:line="240" w:lineRule="auto"/>
              <w:ind w:left="34"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Data e luogo di nascita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45">
            <w:pPr>
              <w:spacing w:after="0" w:line="240" w:lineRule="auto"/>
              <w:ind w:left="96" w:hanging="10.999999999999996"/>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Residenza</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46">
            <w:pPr>
              <w:spacing w:after="0" w:line="240" w:lineRule="auto"/>
              <w:ind w:left="0"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Codice fiscale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47">
            <w:pPr>
              <w:spacing w:after="0" w:line="240" w:lineRule="auto"/>
              <w:ind w:left="0" w:hanging="11"/>
              <w:jc w:val="left"/>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Poteri conferiti /</w:t>
              <w:br w:type="textWrapping"/>
              <w:t xml:space="preserve">qualifica</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spacing w:after="0" w:line="312" w:lineRule="auto"/>
              <w:ind w:left="567" w:firstLine="0"/>
              <w:rPr>
                <w:rFonts w:ascii="Titillium" w:cs="Titillium" w:eastAsia="Titillium" w:hAnsi="Titillium"/>
                <w:sz w:val="21"/>
                <w:szCs w:val="21"/>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spacing w:after="0" w:line="312" w:lineRule="auto"/>
              <w:ind w:left="567" w:firstLine="0"/>
              <w:rPr>
                <w:rFonts w:ascii="Titillium" w:cs="Titillium" w:eastAsia="Titillium" w:hAnsi="Titillium"/>
                <w:sz w:val="21"/>
                <w:szCs w:val="21"/>
              </w:rPr>
            </w:pPr>
            <w:r w:rsidDel="00000000" w:rsidR="00000000" w:rsidRPr="00000000">
              <w:rPr>
                <w:rtl w:val="0"/>
              </w:rPr>
            </w:r>
          </w:p>
        </w:tc>
      </w:tr>
    </w:tbl>
    <w:p w:rsidR="00000000" w:rsidDel="00000000" w:rsidP="00000000" w:rsidRDefault="00000000" w:rsidRPr="00000000" w14:paraId="0000005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240" w:line="240" w:lineRule="auto"/>
        <w:ind w:left="992" w:right="0" w:hanging="357"/>
        <w:jc w:val="both"/>
        <w:rPr>
          <w:rFonts w:ascii="Titillium" w:cs="Titillium" w:eastAsia="Titillium" w:hAnsi="Titillium"/>
          <w:b w:val="0"/>
          <w:bCs w:val="0"/>
          <w:i w:val="0"/>
          <w:iCs w:val="0"/>
          <w:smallCaps w:val="0"/>
          <w:strike w:val="0"/>
          <w:color w:val="000000"/>
          <w:sz w:val="21"/>
          <w:szCs w:val="21"/>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rivestono la qualifica di Direttore Tecnico i seguenti soggetti:</w:t>
      </w:r>
    </w:p>
    <w:tbl>
      <w:tblPr>
        <w:tblStyle w:val="Table4"/>
        <w:tblW w:w="9781.0" w:type="dxa"/>
        <w:jc w:val="left"/>
        <w:tblInd w:w="-5.0" w:type="dxa"/>
        <w:tblLayout w:type="fixed"/>
        <w:tblLook w:val="0400"/>
      </w:tblPr>
      <w:tblGrid>
        <w:gridCol w:w="2127"/>
        <w:gridCol w:w="2126"/>
        <w:gridCol w:w="1559"/>
        <w:gridCol w:w="1843"/>
        <w:gridCol w:w="2126"/>
        <w:tblGridChange w:id="0">
          <w:tblGrid>
            <w:gridCol w:w="2127"/>
            <w:gridCol w:w="2126"/>
            <w:gridCol w:w="1559"/>
            <w:gridCol w:w="1843"/>
            <w:gridCol w:w="2126"/>
          </w:tblGrid>
        </w:tblGridChange>
      </w:tblGrid>
      <w:tr>
        <w:trPr>
          <w:cantSplit w:val="0"/>
          <w:trHeight w:val="57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spacing w:after="0" w:line="240" w:lineRule="auto"/>
              <w:ind w:left="25"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Nome e cognome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spacing w:after="0" w:line="240" w:lineRule="auto"/>
              <w:ind w:left="34"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Data e luogo di nascita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55">
            <w:pPr>
              <w:spacing w:after="0" w:line="240" w:lineRule="auto"/>
              <w:ind w:left="96" w:hanging="10.999999999999996"/>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Residenza</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56">
            <w:pPr>
              <w:spacing w:after="0" w:line="240" w:lineRule="auto"/>
              <w:ind w:left="0"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Codice fiscale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57">
            <w:pPr>
              <w:spacing w:after="0" w:line="240" w:lineRule="auto"/>
              <w:ind w:left="0" w:hanging="11"/>
              <w:jc w:val="left"/>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Poteri conferiti /</w:t>
              <w:br w:type="textWrapping"/>
              <w:t xml:space="preserve">qualifica</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8">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B">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C">
            <w:pPr>
              <w:spacing w:after="0" w:line="312" w:lineRule="auto"/>
              <w:ind w:left="567" w:firstLine="0"/>
              <w:rPr>
                <w:rFonts w:ascii="Titillium" w:cs="Titillium" w:eastAsia="Titillium" w:hAnsi="Titillium"/>
                <w:sz w:val="21"/>
                <w:szCs w:val="21"/>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E">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F">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0">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spacing w:after="0" w:line="312" w:lineRule="auto"/>
              <w:ind w:left="567" w:firstLine="0"/>
              <w:rPr>
                <w:rFonts w:ascii="Titillium" w:cs="Titillium" w:eastAsia="Titillium" w:hAnsi="Titillium"/>
                <w:sz w:val="21"/>
                <w:szCs w:val="21"/>
              </w:rPr>
            </w:pP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240" w:line="240" w:lineRule="auto"/>
        <w:ind w:left="992" w:right="0" w:hanging="357"/>
        <w:jc w:val="both"/>
        <w:rPr>
          <w:rFonts w:ascii="Titillium" w:cs="Titillium" w:eastAsia="Titillium" w:hAnsi="Titillium"/>
          <w:b w:val="0"/>
          <w:bCs w:val="0"/>
          <w:i w:val="0"/>
          <w:iCs w:val="0"/>
          <w:smallCaps w:val="0"/>
          <w:strike w:val="0"/>
          <w:color w:val="000000"/>
          <w:sz w:val="21"/>
          <w:szCs w:val="21"/>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il socio amministratore in caso di società in nome collettivo o i soci accomandatari in caso di società in accomandita semplice è / sono:</w:t>
      </w:r>
    </w:p>
    <w:tbl>
      <w:tblPr>
        <w:tblStyle w:val="Table5"/>
        <w:tblW w:w="9781.0" w:type="dxa"/>
        <w:jc w:val="left"/>
        <w:tblInd w:w="-5.0" w:type="dxa"/>
        <w:tblLayout w:type="fixed"/>
        <w:tblLook w:val="0400"/>
      </w:tblPr>
      <w:tblGrid>
        <w:gridCol w:w="2127"/>
        <w:gridCol w:w="2126"/>
        <w:gridCol w:w="1559"/>
        <w:gridCol w:w="1843"/>
        <w:gridCol w:w="2126"/>
        <w:tblGridChange w:id="0">
          <w:tblGrid>
            <w:gridCol w:w="2127"/>
            <w:gridCol w:w="2126"/>
            <w:gridCol w:w="1559"/>
            <w:gridCol w:w="1843"/>
            <w:gridCol w:w="2126"/>
          </w:tblGrid>
        </w:tblGridChange>
      </w:tblGrid>
      <w:tr>
        <w:trPr>
          <w:cantSplit w:val="0"/>
          <w:trHeight w:val="57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3">
            <w:pPr>
              <w:spacing w:after="0" w:line="240" w:lineRule="auto"/>
              <w:ind w:left="25"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Nome e cognome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4">
            <w:pPr>
              <w:spacing w:after="0" w:line="240" w:lineRule="auto"/>
              <w:ind w:left="34"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Data e luogo di nascita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65">
            <w:pPr>
              <w:spacing w:after="0" w:line="240" w:lineRule="auto"/>
              <w:ind w:left="96" w:hanging="10.999999999999996"/>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Residenza</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66">
            <w:pPr>
              <w:spacing w:after="0" w:line="240" w:lineRule="auto"/>
              <w:ind w:left="0"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Codice fiscale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67">
            <w:pPr>
              <w:spacing w:after="0" w:line="240" w:lineRule="auto"/>
              <w:ind w:left="0" w:hanging="11"/>
              <w:jc w:val="left"/>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Poteri conferiti /</w:t>
              <w:br w:type="textWrapping"/>
              <w:t xml:space="preserve">qualifica</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9">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A">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B">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C">
            <w:pPr>
              <w:spacing w:after="0" w:line="312" w:lineRule="auto"/>
              <w:ind w:left="567" w:firstLine="0"/>
              <w:rPr>
                <w:rFonts w:ascii="Titillium" w:cs="Titillium" w:eastAsia="Titillium" w:hAnsi="Titillium"/>
                <w:sz w:val="21"/>
                <w:szCs w:val="21"/>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E">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0">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1">
            <w:pPr>
              <w:spacing w:after="0" w:line="312" w:lineRule="auto"/>
              <w:ind w:left="567" w:firstLine="0"/>
              <w:rPr>
                <w:rFonts w:ascii="Titillium" w:cs="Titillium" w:eastAsia="Titillium" w:hAnsi="Titillium"/>
                <w:sz w:val="21"/>
                <w:szCs w:val="21"/>
              </w:rPr>
            </w:pPr>
            <w:r w:rsidDel="00000000" w:rsidR="00000000" w:rsidRPr="00000000">
              <w:rPr>
                <w:rtl w:val="0"/>
              </w:rPr>
            </w:r>
          </w:p>
        </w:tc>
      </w:tr>
    </w:tbl>
    <w:p w:rsidR="00000000" w:rsidDel="00000000" w:rsidP="00000000" w:rsidRDefault="00000000" w:rsidRPr="00000000" w14:paraId="0000007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240" w:line="240" w:lineRule="auto"/>
        <w:ind w:left="992" w:right="0" w:hanging="357"/>
        <w:jc w:val="both"/>
        <w:rPr>
          <w:rFonts w:ascii="Titillium" w:cs="Titillium" w:eastAsia="Titillium" w:hAnsi="Titillium"/>
          <w:b w:val="0"/>
          <w:bCs w:val="0"/>
          <w:i w:val="0"/>
          <w:iCs w:val="0"/>
          <w:smallCaps w:val="0"/>
          <w:strike w:val="0"/>
          <w:color w:val="000000"/>
          <w:sz w:val="21"/>
          <w:szCs w:val="21"/>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che il socio unico è</w:t>
      </w:r>
    </w:p>
    <w:tbl>
      <w:tblPr>
        <w:tblStyle w:val="Table6"/>
        <w:tblW w:w="9781.0" w:type="dxa"/>
        <w:jc w:val="left"/>
        <w:tblInd w:w="-5.0" w:type="dxa"/>
        <w:tblLayout w:type="fixed"/>
        <w:tblLook w:val="0400"/>
      </w:tblPr>
      <w:tblGrid>
        <w:gridCol w:w="2127"/>
        <w:gridCol w:w="2126"/>
        <w:gridCol w:w="1559"/>
        <w:gridCol w:w="1843"/>
        <w:gridCol w:w="2126"/>
        <w:tblGridChange w:id="0">
          <w:tblGrid>
            <w:gridCol w:w="2127"/>
            <w:gridCol w:w="2126"/>
            <w:gridCol w:w="1559"/>
            <w:gridCol w:w="1843"/>
            <w:gridCol w:w="2126"/>
          </w:tblGrid>
        </w:tblGridChange>
      </w:tblGrid>
      <w:tr>
        <w:trPr>
          <w:cantSplit w:val="0"/>
          <w:trHeight w:val="57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3">
            <w:pPr>
              <w:spacing w:after="0" w:line="240" w:lineRule="auto"/>
              <w:ind w:left="25"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Nome e cognome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4">
            <w:pPr>
              <w:spacing w:after="0" w:line="240" w:lineRule="auto"/>
              <w:ind w:left="34"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Data e luogo di nascita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75">
            <w:pPr>
              <w:spacing w:after="0" w:line="240" w:lineRule="auto"/>
              <w:ind w:left="96" w:hanging="10.999999999999996"/>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Residenza</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76">
            <w:pPr>
              <w:spacing w:after="0" w:line="240" w:lineRule="auto"/>
              <w:ind w:left="0"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Codice fiscale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77">
            <w:pPr>
              <w:spacing w:after="0" w:line="240" w:lineRule="auto"/>
              <w:ind w:left="0" w:hanging="11"/>
              <w:jc w:val="left"/>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Poteri conferiti /</w:t>
              <w:br w:type="textWrapping"/>
              <w:t xml:space="preserve">qualifica</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8">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9">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A">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B">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C">
            <w:pPr>
              <w:spacing w:after="0" w:line="312" w:lineRule="auto"/>
              <w:ind w:left="567" w:firstLine="0"/>
              <w:rPr>
                <w:rFonts w:ascii="Titillium" w:cs="Titillium" w:eastAsia="Titillium" w:hAnsi="Titillium"/>
                <w:sz w:val="21"/>
                <w:szCs w:val="21"/>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D">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E">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F">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0">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1">
            <w:pPr>
              <w:spacing w:after="0" w:line="312" w:lineRule="auto"/>
              <w:ind w:left="567" w:firstLine="0"/>
              <w:rPr>
                <w:rFonts w:ascii="Titillium" w:cs="Titillium" w:eastAsia="Titillium" w:hAnsi="Titillium"/>
                <w:sz w:val="21"/>
                <w:szCs w:val="21"/>
              </w:rPr>
            </w:pPr>
            <w:r w:rsidDel="00000000" w:rsidR="00000000" w:rsidRPr="00000000">
              <w:rPr>
                <w:rtl w:val="0"/>
              </w:rPr>
            </w:r>
          </w:p>
        </w:tc>
      </w:tr>
    </w:tbl>
    <w:p w:rsidR="00000000" w:rsidDel="00000000" w:rsidP="00000000" w:rsidRDefault="00000000" w:rsidRPr="00000000" w14:paraId="0000008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240" w:line="240" w:lineRule="auto"/>
        <w:ind w:left="992" w:right="0" w:hanging="357"/>
        <w:jc w:val="both"/>
        <w:rPr>
          <w:rFonts w:ascii="Titillium" w:cs="Titillium" w:eastAsia="Titillium" w:hAnsi="Titillium"/>
          <w:b w:val="0"/>
          <w:bCs w:val="0"/>
          <w:i w:val="0"/>
          <w:iCs w:val="0"/>
          <w:smallCaps w:val="0"/>
          <w:strike w:val="0"/>
          <w:color w:val="000000"/>
          <w:sz w:val="21"/>
          <w:szCs w:val="21"/>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che l’amministratore di fatto di cui all’art. 94, comma 3, lett. h) del Codice è:</w:t>
      </w:r>
    </w:p>
    <w:tbl>
      <w:tblPr>
        <w:tblStyle w:val="Table7"/>
        <w:tblW w:w="9781.0" w:type="dxa"/>
        <w:jc w:val="left"/>
        <w:tblInd w:w="-5.0" w:type="dxa"/>
        <w:tblLayout w:type="fixed"/>
        <w:tblLook w:val="0400"/>
      </w:tblPr>
      <w:tblGrid>
        <w:gridCol w:w="2127"/>
        <w:gridCol w:w="2126"/>
        <w:gridCol w:w="1559"/>
        <w:gridCol w:w="1843"/>
        <w:gridCol w:w="2126"/>
        <w:tblGridChange w:id="0">
          <w:tblGrid>
            <w:gridCol w:w="2127"/>
            <w:gridCol w:w="2126"/>
            <w:gridCol w:w="1559"/>
            <w:gridCol w:w="1843"/>
            <w:gridCol w:w="2126"/>
          </w:tblGrid>
        </w:tblGridChange>
      </w:tblGrid>
      <w:tr>
        <w:trPr>
          <w:cantSplit w:val="0"/>
          <w:trHeight w:val="57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3">
            <w:pPr>
              <w:spacing w:after="0" w:line="240" w:lineRule="auto"/>
              <w:ind w:left="25"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Nome e cognome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4">
            <w:pPr>
              <w:spacing w:after="0" w:line="240" w:lineRule="auto"/>
              <w:ind w:left="34"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Data e luogo di nascita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85">
            <w:pPr>
              <w:spacing w:after="0" w:line="240" w:lineRule="auto"/>
              <w:ind w:left="96" w:hanging="10.999999999999996"/>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Residenza</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86">
            <w:pPr>
              <w:spacing w:after="0" w:line="240" w:lineRule="auto"/>
              <w:ind w:left="0"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Codice fiscale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87">
            <w:pPr>
              <w:spacing w:after="0" w:line="240" w:lineRule="auto"/>
              <w:ind w:left="0" w:hanging="11"/>
              <w:jc w:val="left"/>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Poteri conferiti /</w:t>
              <w:br w:type="textWrapping"/>
              <w:t xml:space="preserve">qualifica</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8">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9">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A">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C">
            <w:pPr>
              <w:spacing w:after="0" w:line="312" w:lineRule="auto"/>
              <w:ind w:left="567" w:firstLine="0"/>
              <w:rPr>
                <w:rFonts w:ascii="Titillium" w:cs="Titillium" w:eastAsia="Titillium" w:hAnsi="Titillium"/>
                <w:sz w:val="21"/>
                <w:szCs w:val="21"/>
              </w:rPr>
            </w:pPr>
            <w:r w:rsidDel="00000000" w:rsidR="00000000" w:rsidRPr="00000000">
              <w:rPr>
                <w:rtl w:val="0"/>
              </w:rPr>
            </w:r>
          </w:p>
        </w:tc>
      </w:tr>
    </w:tbl>
    <w:p w:rsidR="00000000" w:rsidDel="00000000" w:rsidP="00000000" w:rsidRDefault="00000000" w:rsidRPr="00000000" w14:paraId="0000008D">
      <w:pPr>
        <w:spacing w:line="312" w:lineRule="auto"/>
        <w:ind w:left="567" w:firstLine="0"/>
        <w:rPr>
          <w:rFonts w:ascii="Titillium" w:cs="Titillium" w:eastAsia="Titillium" w:hAnsi="Titillium"/>
          <w:sz w:val="21"/>
          <w:szCs w:val="21"/>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240" w:line="240" w:lineRule="auto"/>
        <w:ind w:left="992" w:right="0" w:hanging="357"/>
        <w:jc w:val="both"/>
        <w:rPr>
          <w:rFonts w:ascii="Titillium" w:cs="Titillium" w:eastAsia="Titillium" w:hAnsi="Titillium"/>
          <w:b w:val="0"/>
          <w:bCs w:val="0"/>
          <w:i w:val="0"/>
          <w:iCs w:val="0"/>
          <w:smallCaps w:val="0"/>
          <w:strike w:val="0"/>
          <w:color w:val="000000"/>
          <w:sz w:val="21"/>
          <w:szCs w:val="21"/>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21"/>
          <w:szCs w:val="21"/>
          <w:u w:val="none"/>
          <w:shd w:fill="auto" w:val="clear"/>
          <w:vertAlign w:val="baseline"/>
          <w:rtl w:val="0"/>
        </w:rPr>
        <w:t xml:space="preserve">in caso di socio persona giuridica, gli amministratori della stessa, ai fini dell’art. 94 comma 4 del Codice, sono:</w:t>
      </w:r>
    </w:p>
    <w:tbl>
      <w:tblPr>
        <w:tblStyle w:val="Table8"/>
        <w:tblW w:w="9781.0" w:type="dxa"/>
        <w:jc w:val="left"/>
        <w:tblInd w:w="-5.0" w:type="dxa"/>
        <w:tblLayout w:type="fixed"/>
        <w:tblLook w:val="0400"/>
      </w:tblPr>
      <w:tblGrid>
        <w:gridCol w:w="2127"/>
        <w:gridCol w:w="2126"/>
        <w:gridCol w:w="1559"/>
        <w:gridCol w:w="1843"/>
        <w:gridCol w:w="2126"/>
        <w:tblGridChange w:id="0">
          <w:tblGrid>
            <w:gridCol w:w="2127"/>
            <w:gridCol w:w="2126"/>
            <w:gridCol w:w="1559"/>
            <w:gridCol w:w="1843"/>
            <w:gridCol w:w="2126"/>
          </w:tblGrid>
        </w:tblGridChange>
      </w:tblGrid>
      <w:tr>
        <w:trPr>
          <w:cantSplit w:val="0"/>
          <w:trHeight w:val="57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F">
            <w:pPr>
              <w:spacing w:after="0" w:line="240" w:lineRule="auto"/>
              <w:ind w:left="25"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Nome e cognome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0">
            <w:pPr>
              <w:spacing w:after="0" w:line="240" w:lineRule="auto"/>
              <w:ind w:left="34"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Data e luogo di nascita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91">
            <w:pPr>
              <w:spacing w:after="0" w:line="240" w:lineRule="auto"/>
              <w:ind w:left="96" w:hanging="10.999999999999996"/>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Residenza</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92">
            <w:pPr>
              <w:spacing w:after="0" w:line="240" w:lineRule="auto"/>
              <w:ind w:left="0" w:hanging="11"/>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Codice fiscale </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93">
            <w:pPr>
              <w:spacing w:after="0" w:line="240" w:lineRule="auto"/>
              <w:ind w:left="0" w:hanging="11"/>
              <w:jc w:val="left"/>
              <w:rPr>
                <w:rFonts w:ascii="Titillium" w:cs="Titillium" w:eastAsia="Titillium" w:hAnsi="Titillium"/>
                <w:b w:val="1"/>
                <w:bCs w:val="1"/>
                <w:sz w:val="19"/>
                <w:szCs w:val="19"/>
              </w:rPr>
            </w:pPr>
            <w:r w:rsidDel="00000000" w:rsidR="00000000" w:rsidRPr="00000000">
              <w:rPr>
                <w:rFonts w:ascii="Titillium" w:cs="Titillium" w:eastAsia="Titillium" w:hAnsi="Titillium"/>
                <w:b w:val="1"/>
                <w:bCs w:val="1"/>
                <w:sz w:val="19"/>
                <w:szCs w:val="19"/>
                <w:rtl w:val="0"/>
              </w:rPr>
              <w:t xml:space="preserve">Poteri conferiti /</w:t>
              <w:br w:type="textWrapping"/>
              <w:t xml:space="preserve">qualifica</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4">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5">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6">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spacing w:after="0" w:line="312" w:lineRule="auto"/>
              <w:ind w:left="567" w:firstLine="0"/>
              <w:rPr>
                <w:rFonts w:ascii="Titillium" w:cs="Titillium" w:eastAsia="Titillium" w:hAnsi="Titillium"/>
                <w:sz w:val="21"/>
                <w:szCs w:val="21"/>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9">
            <w:pPr>
              <w:spacing w:after="0" w:line="312" w:lineRule="auto"/>
              <w:ind w:left="0"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A">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spacing w:after="0" w:line="312" w:lineRule="auto"/>
              <w:ind w:left="567" w:firstLine="0"/>
              <w:rPr>
                <w:rFonts w:ascii="Titillium" w:cs="Titillium" w:eastAsia="Titillium" w:hAnsi="Titillium"/>
                <w:sz w:val="21"/>
                <w:szCs w:val="2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D">
            <w:pPr>
              <w:spacing w:after="0" w:line="312" w:lineRule="auto"/>
              <w:ind w:left="567" w:firstLine="0"/>
              <w:rPr>
                <w:rFonts w:ascii="Titillium" w:cs="Titillium" w:eastAsia="Titillium" w:hAnsi="Titillium"/>
                <w:sz w:val="21"/>
                <w:szCs w:val="21"/>
              </w:rPr>
            </w:pPr>
            <w:r w:rsidDel="00000000" w:rsidR="00000000" w:rsidRPr="00000000">
              <w:rPr>
                <w:rtl w:val="0"/>
              </w:rPr>
            </w:r>
          </w:p>
        </w:tc>
      </w:tr>
    </w:tbl>
    <w:p w:rsidR="00000000" w:rsidDel="00000000" w:rsidP="00000000" w:rsidRDefault="00000000" w:rsidRPr="00000000" w14:paraId="0000009E">
      <w:pPr>
        <w:numPr>
          <w:ilvl w:val="0"/>
          <w:numId w:val="1"/>
        </w:numPr>
        <w:pBdr>
          <w:top w:space="0" w:sz="0" w:val="nil"/>
          <w:left w:space="0" w:sz="0" w:val="nil"/>
          <w:bottom w:space="0" w:sz="0" w:val="nil"/>
          <w:right w:space="0" w:sz="0" w:val="nil"/>
          <w:between w:space="0" w:sz="0" w:val="nil"/>
        </w:pBdr>
        <w:tabs>
          <w:tab w:val="left" w:leader="none" w:pos="284"/>
        </w:tabs>
        <w:spacing w:after="0" w:before="6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di non essere stati destinatari di un provvedimento di decadenza dal beneficio erogato per aver reso falsa dichiarazione ai sensi del comma 1 bis dell'art. 75 del DPR 455/2000, il quale prevede che nel caso di dichiarazioni mendaci, riscontrate a seguito di controlli a campione, le amministrazioni dispongono nei confronti dell'operatore economico la revoca del beneficio erogato e il divieto di accesso a contributi, finanziamenti ed agevolazioni per un periodo di 2 anni decorrenti dalla data in cui l'amministrazione ha adottato l'atto di decadenza;</w:t>
      </w:r>
    </w:p>
    <w:p w:rsidR="00000000" w:rsidDel="00000000" w:rsidP="00000000" w:rsidRDefault="00000000" w:rsidRPr="00000000" w14:paraId="0000009F">
      <w:pPr>
        <w:numPr>
          <w:ilvl w:val="0"/>
          <w:numId w:val="1"/>
        </w:numPr>
        <w:pBdr>
          <w:top w:space="0" w:sz="0" w:val="nil"/>
          <w:left w:space="0" w:sz="0" w:val="nil"/>
          <w:bottom w:space="0" w:sz="0" w:val="nil"/>
          <w:right w:space="0" w:sz="0" w:val="nil"/>
          <w:between w:space="0" w:sz="0" w:val="nil"/>
        </w:pBdr>
        <w:spacing w:after="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di ritenere remunerativa l’Offerta economica presentata giacché per la sua formulazione ha preso atto e tenuto conto:</w:t>
      </w:r>
    </w:p>
    <w:p w:rsidR="00000000" w:rsidDel="00000000" w:rsidP="00000000" w:rsidRDefault="00000000" w:rsidRPr="00000000" w14:paraId="000000A0">
      <w:pPr>
        <w:numPr>
          <w:ilvl w:val="0"/>
          <w:numId w:val="2"/>
        </w:numPr>
        <w:pBdr>
          <w:top w:space="0" w:sz="0" w:val="nil"/>
          <w:left w:space="0" w:sz="0" w:val="nil"/>
          <w:bottom w:space="0" w:sz="0" w:val="nil"/>
          <w:right w:space="0" w:sz="0" w:val="nil"/>
          <w:between w:space="0" w:sz="0" w:val="nil"/>
        </w:pBdr>
        <w:spacing w:after="0" w:line="480" w:lineRule="auto"/>
        <w:ind w:left="993" w:hanging="283"/>
        <w:rPr>
          <w:rFonts w:ascii="Titillium" w:cs="Titillium" w:eastAsia="Titillium" w:hAnsi="Titillium"/>
        </w:rPr>
      </w:pPr>
      <w:r w:rsidDel="00000000" w:rsidR="00000000" w:rsidRPr="00000000">
        <w:rPr>
          <w:rFonts w:ascii="Titillium" w:cs="Titillium" w:eastAsia="Titillium" w:hAnsi="Titillium"/>
          <w:rtl w:val="0"/>
        </w:rPr>
        <w:t xml:space="preserve">delle condizioni contrattuali e degli oneri compresi quelli eventuali relativi in materia di sicurezza, di assicurazione, di condizioni di lavoro e di previdenza e assistenza in vigore nel luogo dove devono essere svolti i servizi;</w:t>
      </w:r>
    </w:p>
    <w:p w:rsidR="00000000" w:rsidDel="00000000" w:rsidP="00000000" w:rsidRDefault="00000000" w:rsidRPr="00000000" w14:paraId="000000A1">
      <w:pPr>
        <w:numPr>
          <w:ilvl w:val="0"/>
          <w:numId w:val="2"/>
        </w:numPr>
        <w:pBdr>
          <w:top w:space="0" w:sz="0" w:val="nil"/>
          <w:left w:space="0" w:sz="0" w:val="nil"/>
          <w:bottom w:space="0" w:sz="0" w:val="nil"/>
          <w:right w:space="0" w:sz="0" w:val="nil"/>
          <w:between w:space="0" w:sz="0" w:val="nil"/>
        </w:pBdr>
        <w:spacing w:after="120" w:line="480" w:lineRule="auto"/>
        <w:ind w:left="993" w:hanging="283"/>
        <w:rPr>
          <w:rFonts w:ascii="Titillium" w:cs="Titillium" w:eastAsia="Titillium" w:hAnsi="Titillium"/>
        </w:rPr>
      </w:pPr>
      <w:r w:rsidDel="00000000" w:rsidR="00000000" w:rsidRPr="00000000">
        <w:rPr>
          <w:rFonts w:ascii="Titillium" w:cs="Titillium" w:eastAsia="Titillium" w:hAnsi="Titillium"/>
          <w:rtl w:val="0"/>
        </w:rPr>
        <w:t xml:space="preserve">di tutte le circostanze generali, particolari e locali, nessuna esclusa ed eccettuata, che possono avere influito o influire sia sulla erogazione delle prestazioni, sia sulla determinazione della propria offerta;</w:t>
      </w:r>
      <w:r w:rsidDel="00000000" w:rsidR="00000000" w:rsidRPr="00000000">
        <w:rPr>
          <w:rtl w:val="0"/>
        </w:rPr>
      </w:r>
    </w:p>
    <w:p w:rsidR="00000000" w:rsidDel="00000000" w:rsidP="00000000" w:rsidRDefault="00000000" w:rsidRPr="00000000" w14:paraId="000000A2">
      <w:pPr>
        <w:numPr>
          <w:ilvl w:val="0"/>
          <w:numId w:val="1"/>
        </w:numPr>
        <w:pBdr>
          <w:top w:space="0" w:sz="0" w:val="nil"/>
          <w:left w:space="0" w:sz="0" w:val="nil"/>
          <w:bottom w:space="0" w:sz="0" w:val="nil"/>
          <w:right w:space="0" w:sz="0" w:val="nil"/>
          <w:between w:space="0" w:sz="0" w:val="nil"/>
        </w:pBdr>
        <w:spacing w:after="120" w:before="120" w:line="480" w:lineRule="auto"/>
        <w:ind w:left="567" w:hanging="425"/>
        <w:rPr>
          <w:rFonts w:ascii="Titillium" w:cs="Titillium" w:eastAsia="Titillium" w:hAnsi="Titillium"/>
          <w:sz w:val="21"/>
          <w:szCs w:val="21"/>
        </w:rPr>
      </w:pPr>
      <w:r w:rsidDel="00000000" w:rsidR="00000000" w:rsidRPr="00000000">
        <w:rPr>
          <w:rFonts w:ascii="Titillium" w:cs="Titillium" w:eastAsia="Titillium" w:hAnsi="Titillium"/>
          <w:rtl w:val="0"/>
        </w:rPr>
        <w:t xml:space="preserve">di accettare, senza condizione o riserva alcuna, tutte le norme e disposizioni contenute nella documentazione di gara o di affidamento e di rendersi disponibile a dare immediato avvio all'esecuzione delle prestazioni, nei casi di urgenza e comunque ove ritenuto necessario in relazione alla particolare tipologia dell'oggetto delle prestazioni stesse, anche nelle more della stipula del contratto</w:t>
      </w:r>
      <w:r w:rsidDel="00000000" w:rsidR="00000000" w:rsidRPr="00000000">
        <w:rPr>
          <w:rFonts w:ascii="Titillium" w:cs="Titillium" w:eastAsia="Titillium" w:hAnsi="Titillium"/>
          <w:sz w:val="21"/>
          <w:szCs w:val="21"/>
          <w:rtl w:val="0"/>
        </w:rPr>
        <w:t xml:space="preserve">; </w:t>
      </w:r>
    </w:p>
    <w:p w:rsidR="00000000" w:rsidDel="00000000" w:rsidP="00000000" w:rsidRDefault="00000000" w:rsidRPr="00000000" w14:paraId="000000A3">
      <w:pPr>
        <w:numPr>
          <w:ilvl w:val="0"/>
          <w:numId w:val="1"/>
        </w:numPr>
        <w:pBdr>
          <w:top w:space="0" w:sz="0" w:val="nil"/>
          <w:left w:space="0" w:sz="0" w:val="nil"/>
          <w:bottom w:space="0" w:sz="0" w:val="nil"/>
          <w:right w:space="0" w:sz="0" w:val="nil"/>
          <w:between w:space="0" w:sz="0" w:val="nil"/>
        </w:pBdr>
        <w:spacing w:after="120" w:line="480" w:lineRule="auto"/>
        <w:ind w:left="567" w:hanging="425"/>
        <w:rPr>
          <w:rFonts w:ascii="Titillium" w:cs="Titillium" w:eastAsia="Titillium" w:hAnsi="Titillium"/>
        </w:rPr>
      </w:pPr>
      <w:bookmarkStart w:colFirst="0" w:colLast="0" w:name="_heading=h.1fob9te" w:id="2"/>
      <w:bookmarkEnd w:id="2"/>
      <w:r w:rsidDel="00000000" w:rsidR="00000000" w:rsidRPr="00000000">
        <w:rPr>
          <w:rFonts w:ascii="Titillium" w:cs="Titillium" w:eastAsia="Titillium" w:hAnsi="Titillium"/>
          <w:rtl w:val="0"/>
        </w:rPr>
        <w:t xml:space="preserve">di accettare</w:t>
      </w:r>
      <w:r w:rsidDel="00000000" w:rsidR="00000000" w:rsidRPr="00000000">
        <w:rPr>
          <w:rFonts w:ascii="Titillium" w:cs="Titillium" w:eastAsia="Titillium" w:hAnsi="Titillium"/>
          <w:b w:val="1"/>
          <w:bCs w:val="1"/>
          <w:rtl w:val="0"/>
        </w:rPr>
        <w:t xml:space="preserve"> </w:t>
      </w:r>
      <w:r w:rsidDel="00000000" w:rsidR="00000000" w:rsidRPr="00000000">
        <w:rPr>
          <w:rFonts w:ascii="Titillium" w:cs="Titillium" w:eastAsia="Titillium" w:hAnsi="Titillium"/>
          <w:rtl w:val="0"/>
        </w:rPr>
        <w:t xml:space="preserve">il Patto di integrità dell’INAF, parte della documentazione di gara obbligandosi ad assumere gli impegni previsti dal medesimo patto. La mancata accettazione e/o il mancato rispetto delle clausole contenute nel protocollo di legalità/patto di integrità costituisce causa di esclusione dalla gara o di risoluzione del contratto, ai sensi dell’articolo 83-bis, del decreto legislativo 159/2011;</w:t>
      </w:r>
    </w:p>
    <w:p w:rsidR="00000000" w:rsidDel="00000000" w:rsidP="00000000" w:rsidRDefault="00000000" w:rsidRPr="00000000" w14:paraId="000000A4">
      <w:pPr>
        <w:numPr>
          <w:ilvl w:val="0"/>
          <w:numId w:val="1"/>
        </w:numPr>
        <w:pBdr>
          <w:top w:space="0" w:sz="0" w:val="nil"/>
          <w:left w:space="0" w:sz="0" w:val="nil"/>
          <w:bottom w:space="0" w:sz="0" w:val="nil"/>
          <w:right w:space="0" w:sz="0" w:val="nil"/>
          <w:between w:space="0" w:sz="0" w:val="nil"/>
        </w:pBdr>
        <w:spacing w:after="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di essere edotto degli obblighi derivanti dal Codice di comportamento adottato dalla stazione appaltante con Delibera del Consiglio di Amministrazione numero 18 del 4 novembre 2015 reperibile al link: http://www.inaf.it/it/amministrazione-trasparente/disposizioni-generali/atti-generali/CodicedicomportamentoIstitutoNazionalediAstrofisicapdf.pdf e di impegnarsi, in caso di aggiudicazione, ad osservare e a far osservare ai propri dipendenti e collaboratori, per quanto applicabile, il suddetto codice, pena la risoluzione del contratto;</w:t>
      </w:r>
    </w:p>
    <w:p w:rsidR="00000000" w:rsidDel="00000000" w:rsidP="00000000" w:rsidRDefault="00000000" w:rsidRPr="00000000" w14:paraId="000000A5">
      <w:pPr>
        <w:numPr>
          <w:ilvl w:val="0"/>
          <w:numId w:val="1"/>
        </w:numPr>
        <w:pBdr>
          <w:top w:space="0" w:sz="0" w:val="nil"/>
          <w:left w:space="0" w:sz="0" w:val="nil"/>
          <w:bottom w:space="0" w:sz="0" w:val="nil"/>
          <w:right w:space="0" w:sz="0" w:val="nil"/>
          <w:between w:space="0" w:sz="0" w:val="nil"/>
        </w:pBdr>
        <w:spacing w:after="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di accettare, ai sensi dell’art. 113, comma 2 del Codice, i requisiti particolari per l’esecuzione del contratto e dallo schema di contratto allegato;</w:t>
      </w:r>
    </w:p>
    <w:p w:rsidR="00000000" w:rsidDel="00000000" w:rsidP="00000000" w:rsidRDefault="00000000" w:rsidRPr="00000000" w14:paraId="000000A6">
      <w:pPr>
        <w:numPr>
          <w:ilvl w:val="0"/>
          <w:numId w:val="1"/>
        </w:numPr>
        <w:pBdr>
          <w:top w:space="0" w:sz="0" w:val="nil"/>
          <w:left w:space="0" w:sz="0" w:val="nil"/>
          <w:bottom w:space="0" w:sz="0" w:val="nil"/>
          <w:right w:space="0" w:sz="0" w:val="nil"/>
          <w:between w:space="0" w:sz="0" w:val="nil"/>
        </w:pBdr>
        <w:spacing w:after="120" w:line="480" w:lineRule="auto"/>
        <w:ind w:left="567" w:hanging="425"/>
        <w:rPr>
          <w:rFonts w:ascii="Titillium" w:cs="Titillium" w:eastAsia="Titillium" w:hAnsi="Titillium"/>
          <w:sz w:val="21"/>
          <w:szCs w:val="21"/>
        </w:rPr>
      </w:pPr>
      <w:r w:rsidDel="00000000" w:rsidR="00000000" w:rsidRPr="00000000">
        <w:rPr>
          <w:rFonts w:ascii="Titillium" w:cs="Titillium" w:eastAsia="Titillium" w:hAnsi="Titillium"/>
          <w:rtl w:val="0"/>
        </w:rPr>
        <w:t xml:space="preserve">di accettare che tutte le comunicazioni e tutti gli scambi di informazioni tra INAF e operatori economici si intendono validamente ed efficacemente effettuate qualora rese attraverso la piattaforma di approvvigionamento digitale utilizzata</w:t>
      </w:r>
    </w:p>
    <w:p w:rsidR="00000000" w:rsidDel="00000000" w:rsidP="00000000" w:rsidRDefault="00000000" w:rsidRPr="00000000" w14:paraId="000000A7">
      <w:pPr>
        <w:numPr>
          <w:ilvl w:val="0"/>
          <w:numId w:val="1"/>
        </w:numPr>
        <w:pBdr>
          <w:top w:space="0" w:sz="0" w:val="nil"/>
          <w:left w:space="0" w:sz="0" w:val="nil"/>
          <w:bottom w:space="0" w:sz="0" w:val="nil"/>
          <w:right w:space="0" w:sz="0" w:val="nil"/>
          <w:between w:space="0" w:sz="0" w:val="nil"/>
        </w:pBdr>
        <w:spacing w:after="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di essere informato, ai sensi e per gli effetti dell’articolo 13 del decreto legislativo 30 giugno 2003, n. 196 e del Regolamento CE (27 Aprile 2016 n. 2016/679/UE), che i dati personali raccolti saranno trattati, anche con strumenti informatici, esclusivamente nell’ambito della presente gara, nonché dell’esistenza dei diritti di cui all’articolo 7 del medesimo decreto legislativo nonché del Regolamento CE. </w:t>
      </w:r>
    </w:p>
    <w:p w:rsidR="00000000" w:rsidDel="00000000" w:rsidP="00000000" w:rsidRDefault="00000000" w:rsidRPr="00000000" w14:paraId="000000A8">
      <w:pPr>
        <w:numPr>
          <w:ilvl w:val="0"/>
          <w:numId w:val="1"/>
        </w:numPr>
        <w:pBdr>
          <w:top w:space="0" w:sz="0" w:val="nil"/>
          <w:left w:space="0" w:sz="0" w:val="nil"/>
          <w:bottom w:space="0" w:sz="0" w:val="nil"/>
          <w:right w:space="0" w:sz="0" w:val="nil"/>
          <w:between w:space="0" w:sz="0" w:val="nil"/>
        </w:pBdr>
        <w:spacing w:after="12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che i dati relativi a: domicilio fiscale, codice fiscale, partita IVA, indirizzo PEC oppure, solo in caso di concorrenti aventi sede in altri Stati membri, indirizzo di posta elettronica, sono stati riportati, nella PAD in fase di registrazione alla piattaforma medesima per la presentazione dell’Offerta, e sono pertanto aggiornati, validi ed efficaci ai fini di tutte le comunicazioni che la stazione appaltante effettuerà;</w:t>
      </w:r>
    </w:p>
    <w:p w:rsidR="00000000" w:rsidDel="00000000" w:rsidP="00000000" w:rsidRDefault="00000000" w:rsidRPr="00000000" w14:paraId="000000A9">
      <w:pPr>
        <w:numPr>
          <w:ilvl w:val="0"/>
          <w:numId w:val="1"/>
        </w:numPr>
        <w:pBdr>
          <w:top w:space="0" w:sz="0" w:val="nil"/>
          <w:left w:space="0" w:sz="0" w:val="nil"/>
          <w:bottom w:space="0" w:sz="0" w:val="nil"/>
          <w:right w:space="0" w:sz="0" w:val="nil"/>
          <w:between w:space="0" w:sz="0" w:val="nil"/>
        </w:pBdr>
        <w:spacing w:after="12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di rispettare integralmente</w:t>
      </w:r>
      <w:r w:rsidDel="00000000" w:rsidR="00000000" w:rsidRPr="00000000">
        <w:rPr>
          <w:rFonts w:ascii="Titillium" w:cs="Titillium" w:eastAsia="Titillium" w:hAnsi="Titillium"/>
          <w:b w:val="1"/>
          <w:bCs w:val="1"/>
          <w:rtl w:val="0"/>
        </w:rPr>
        <w:t xml:space="preserve"> </w:t>
      </w:r>
      <w:r w:rsidDel="00000000" w:rsidR="00000000" w:rsidRPr="00000000">
        <w:rPr>
          <w:rFonts w:ascii="Titillium" w:cs="Titillium" w:eastAsia="Titillium" w:hAnsi="Titillium"/>
          <w:rtl w:val="0"/>
        </w:rPr>
        <w:t xml:space="preserve">le disposizioni in materia di sicurezza sul lavoro e antinfortunistica di cui al decreto legislativo 9 aprile 2008 n. 81; </w:t>
      </w:r>
    </w:p>
    <w:p w:rsidR="00000000" w:rsidDel="00000000" w:rsidP="00000000" w:rsidRDefault="00000000" w:rsidRPr="00000000" w14:paraId="000000AA">
      <w:pPr>
        <w:numPr>
          <w:ilvl w:val="0"/>
          <w:numId w:val="1"/>
        </w:numPr>
        <w:pBdr>
          <w:top w:space="0" w:sz="0" w:val="nil"/>
          <w:left w:space="0" w:sz="0" w:val="nil"/>
          <w:bottom w:space="0" w:sz="0" w:val="nil"/>
          <w:right w:space="0" w:sz="0" w:val="nil"/>
          <w:between w:space="0" w:sz="0" w:val="nil"/>
        </w:pBdr>
        <w:spacing w:after="12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di impegnarsi a non divulgare notizie e fatti relativi alla stazione appaltante dei quali sia venuta a conoscenza nell’esecuzione delle prestazioni oggetto dell’appalto; </w:t>
      </w:r>
    </w:p>
    <w:p w:rsidR="00000000" w:rsidDel="00000000" w:rsidP="00000000" w:rsidRDefault="00000000" w:rsidRPr="00000000" w14:paraId="000000AB">
      <w:pPr>
        <w:numPr>
          <w:ilvl w:val="0"/>
          <w:numId w:val="1"/>
        </w:numPr>
        <w:pBdr>
          <w:top w:space="0" w:sz="0" w:val="nil"/>
          <w:left w:space="0" w:sz="0" w:val="nil"/>
          <w:bottom w:space="0" w:sz="0" w:val="nil"/>
          <w:right w:space="0" w:sz="0" w:val="nil"/>
          <w:between w:space="0" w:sz="0" w:val="nil"/>
        </w:pBdr>
        <w:spacing w:after="12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di non essersi avvalso dei piani individuali di emersione di cui alla L. n. 383/2001, come modificata dalla legge n. 266/2002, oppure, nel caso si sia avvalso dei suddetti piani individuali di emersione, che il periodo di emersione si è concluso; </w:t>
      </w:r>
    </w:p>
    <w:p w:rsidR="00000000" w:rsidDel="00000000" w:rsidP="00000000" w:rsidRDefault="00000000" w:rsidRPr="00000000" w14:paraId="000000AC">
      <w:pPr>
        <w:numPr>
          <w:ilvl w:val="0"/>
          <w:numId w:val="1"/>
        </w:numPr>
        <w:pBdr>
          <w:top w:space="0" w:sz="0" w:val="nil"/>
          <w:left w:space="0" w:sz="0" w:val="nil"/>
          <w:bottom w:space="0" w:sz="0" w:val="nil"/>
          <w:right w:space="0" w:sz="0" w:val="nil"/>
          <w:between w:space="0" w:sz="0" w:val="nil"/>
        </w:pBdr>
        <w:spacing w:after="120" w:line="480" w:lineRule="auto"/>
        <w:ind w:left="567" w:hanging="425"/>
        <w:rPr>
          <w:rFonts w:ascii="Titillium" w:cs="Titillium" w:eastAsia="Titillium" w:hAnsi="Titillium"/>
        </w:rPr>
      </w:pPr>
      <w:r w:rsidDel="00000000" w:rsidR="00000000" w:rsidRPr="00000000">
        <w:rPr>
          <w:rFonts w:ascii="Titillium" w:cs="Titillium" w:eastAsia="Titillium" w:hAnsi="Titillium"/>
          <w:rtl w:val="0"/>
        </w:rPr>
        <w:t xml:space="preserve">di essere informato, ai sensi e per gli effetti dell’art. 13 del Regolamento UE n. 2016/679 relativo alla protezione delle persone fisiche con riguardo al trattamento dei dati personali, nonché alla libera circolazione di tali dati, che i dati personali raccolti saranno trattati, anche con strumenti informatici, esclusivamente nell’ambito della presente gara, nonché dell’esistenza dei diritti di cui all’articolo 7 del medesimo decreto legislativo e di cui agli artt. da 15 a 23 del suddetto Regolamento.</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480" w:lineRule="auto"/>
        <w:ind w:left="644" w:firstLine="0"/>
        <w:rPr>
          <w:rFonts w:ascii="Titillium" w:cs="Titillium" w:eastAsia="Titillium" w:hAnsi="Titillium"/>
          <w:b w:val="1"/>
          <w:bCs w:val="1"/>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480" w:lineRule="auto"/>
        <w:ind w:left="644" w:firstLine="0"/>
        <w:rPr>
          <w:rFonts w:ascii="Titillium" w:cs="Titillium" w:eastAsia="Titillium" w:hAnsi="Titillium"/>
          <w:b w:val="1"/>
          <w:bCs w:val="1"/>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line="480" w:lineRule="auto"/>
        <w:ind w:left="644" w:firstLine="0"/>
        <w:rPr>
          <w:rFonts w:ascii="Titillium" w:cs="Titillium" w:eastAsia="Titillium" w:hAnsi="Titillium"/>
          <w:b w:val="1"/>
          <w:bCs w:val="1"/>
        </w:rPr>
      </w:pPr>
      <w:r w:rsidDel="00000000" w:rsidR="00000000" w:rsidRPr="00000000">
        <w:rPr>
          <w:rtl w:val="0"/>
        </w:rPr>
      </w:r>
    </w:p>
    <w:tbl>
      <w:tblPr>
        <w:tblStyle w:val="Table9"/>
        <w:tblW w:w="9632.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9272"/>
        <w:gridCol w:w="180"/>
        <w:gridCol w:w="180"/>
        <w:tblGridChange w:id="0">
          <w:tblGrid>
            <w:gridCol w:w="9272"/>
            <w:gridCol w:w="180"/>
            <w:gridCol w:w="180"/>
          </w:tblGrid>
        </w:tblGridChange>
      </w:tblGrid>
      <w:tr>
        <w:trPr>
          <w:cantSplit w:val="0"/>
          <w:trHeight w:val="1773" w:hRule="atLeast"/>
          <w:tblHeader w:val="0"/>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center"/>
          </w:tcPr>
          <w:p w:rsidR="00000000" w:rsidDel="00000000" w:rsidP="00000000" w:rsidRDefault="00000000" w:rsidRPr="00000000" w14:paraId="000000B0">
            <w:pPr>
              <w:tabs>
                <w:tab w:val="left" w:leader="none" w:pos="2880"/>
              </w:tabs>
              <w:spacing w:after="120" w:line="480" w:lineRule="auto"/>
              <w:ind w:firstLine="10"/>
              <w:rPr>
                <w:rFonts w:ascii="Titillium" w:cs="Titillium" w:eastAsia="Titillium" w:hAnsi="Titillium"/>
                <w:sz w:val="21"/>
                <w:szCs w:val="21"/>
              </w:rPr>
            </w:pPr>
            <w:r w:rsidDel="00000000" w:rsidR="00000000" w:rsidRPr="00000000">
              <w:rPr>
                <w:rFonts w:ascii="Titillium" w:cs="Titillium" w:eastAsia="Titillium" w:hAnsi="Titillium"/>
                <w:sz w:val="21"/>
                <w:szCs w:val="21"/>
                <w:rtl w:val="0"/>
              </w:rPr>
              <w:t xml:space="preserve">Luogo e data ________________________</w:t>
            </w:r>
          </w:p>
          <w:p w:rsidR="00000000" w:rsidDel="00000000" w:rsidP="00000000" w:rsidRDefault="00000000" w:rsidRPr="00000000" w14:paraId="000000B1">
            <w:pPr>
              <w:tabs>
                <w:tab w:val="left" w:leader="none" w:pos="2880"/>
              </w:tabs>
              <w:spacing w:line="480" w:lineRule="auto"/>
              <w:ind w:firstLine="10"/>
              <w:jc w:val="right"/>
              <w:rPr>
                <w:rFonts w:ascii="Titillium" w:cs="Titillium" w:eastAsia="Titillium" w:hAnsi="Titillium"/>
                <w:sz w:val="21"/>
                <w:szCs w:val="21"/>
              </w:rPr>
            </w:pPr>
            <w:r w:rsidDel="00000000" w:rsidR="00000000" w:rsidRPr="00000000">
              <w:rPr>
                <w:rFonts w:ascii="Titillium" w:cs="Titillium" w:eastAsia="Titillium" w:hAnsi="Titillium"/>
                <w:sz w:val="21"/>
                <w:szCs w:val="21"/>
                <w:rtl w:val="0"/>
              </w:rPr>
              <w:tab/>
              <w:t xml:space="preserve">FIRMA DEL DICHIARANTE</w:t>
            </w:r>
          </w:p>
          <w:p w:rsidR="00000000" w:rsidDel="00000000" w:rsidP="00000000" w:rsidRDefault="00000000" w:rsidRPr="00000000" w14:paraId="000000B2">
            <w:pPr>
              <w:tabs>
                <w:tab w:val="left" w:leader="none" w:pos="2880"/>
              </w:tabs>
              <w:spacing w:line="480" w:lineRule="auto"/>
              <w:ind w:firstLine="10"/>
              <w:jc w:val="right"/>
              <w:rPr>
                <w:rFonts w:ascii="Titillium" w:cs="Titillium" w:eastAsia="Titillium" w:hAnsi="Titillium"/>
                <w:sz w:val="21"/>
                <w:szCs w:val="21"/>
              </w:rPr>
            </w:pPr>
            <w:r w:rsidDel="00000000" w:rsidR="00000000" w:rsidRPr="00000000">
              <w:rPr>
                <w:rFonts w:ascii="Titillium" w:cs="Titillium" w:eastAsia="Titillium" w:hAnsi="Titillium"/>
                <w:sz w:val="21"/>
                <w:szCs w:val="21"/>
                <w:rtl w:val="0"/>
              </w:rPr>
              <w:t xml:space="preserve">[</w:t>
            </w:r>
            <w:r w:rsidDel="00000000" w:rsidR="00000000" w:rsidRPr="00000000">
              <w:rPr>
                <w:rFonts w:ascii="Titillium" w:cs="Titillium" w:eastAsia="Titillium" w:hAnsi="Titillium"/>
                <w:i w:val="1"/>
                <w:iCs w:val="1"/>
                <w:sz w:val="21"/>
                <w:szCs w:val="21"/>
                <w:rtl w:val="0"/>
              </w:rPr>
              <w:t xml:space="preserve">inserire: Nome e Cognome</w:t>
            </w:r>
            <w:r w:rsidDel="00000000" w:rsidR="00000000" w:rsidRPr="00000000">
              <w:rPr>
                <w:rFonts w:ascii="Titillium" w:cs="Titillium" w:eastAsia="Titillium" w:hAnsi="Titillium"/>
                <w:sz w:val="21"/>
                <w:szCs w:val="21"/>
                <w:rtl w:val="0"/>
              </w:rPr>
              <w:t xml:space="preserve">]</w:t>
            </w:r>
          </w:p>
          <w:p w:rsidR="00000000" w:rsidDel="00000000" w:rsidP="00000000" w:rsidRDefault="00000000" w:rsidRPr="00000000" w14:paraId="000000B3">
            <w:pPr>
              <w:tabs>
                <w:tab w:val="left" w:leader="none" w:pos="2880"/>
              </w:tabs>
              <w:spacing w:after="120" w:line="480" w:lineRule="auto"/>
              <w:ind w:firstLine="10"/>
              <w:jc w:val="center"/>
              <w:rPr>
                <w:rFonts w:ascii="Titillium" w:cs="Titillium" w:eastAsia="Titillium" w:hAnsi="Titillium"/>
                <w:sz w:val="21"/>
                <w:szCs w:val="21"/>
              </w:rPr>
            </w:pPr>
            <w:r w:rsidDel="00000000" w:rsidR="00000000" w:rsidRPr="00000000">
              <w:rPr>
                <w:rtl w:val="0"/>
              </w:rPr>
            </w:r>
          </w:p>
          <w:p w:rsidR="00000000" w:rsidDel="00000000" w:rsidP="00000000" w:rsidRDefault="00000000" w:rsidRPr="00000000" w14:paraId="000000B4">
            <w:pPr>
              <w:tabs>
                <w:tab w:val="left" w:leader="none" w:pos="2880"/>
              </w:tabs>
              <w:spacing w:after="120" w:line="480" w:lineRule="auto"/>
              <w:ind w:firstLine="10"/>
              <w:jc w:val="center"/>
              <w:rPr>
                <w:rFonts w:ascii="Titillium" w:cs="Titillium" w:eastAsia="Titillium" w:hAnsi="Titillium"/>
                <w:sz w:val="21"/>
                <w:szCs w:val="21"/>
              </w:rPr>
            </w:pPr>
            <w:r w:rsidDel="00000000" w:rsidR="00000000" w:rsidRPr="00000000">
              <w:rPr>
                <w:rtl w:val="0"/>
              </w:rPr>
            </w:r>
          </w:p>
          <w:p w:rsidR="00000000" w:rsidDel="00000000" w:rsidP="00000000" w:rsidRDefault="00000000" w:rsidRPr="00000000" w14:paraId="000000B5">
            <w:pPr>
              <w:tabs>
                <w:tab w:val="left" w:leader="none" w:pos="2880"/>
              </w:tabs>
              <w:spacing w:after="120" w:line="480" w:lineRule="auto"/>
              <w:ind w:firstLine="10"/>
              <w:jc w:val="center"/>
              <w:rPr>
                <w:rFonts w:ascii="Titillium" w:cs="Titillium" w:eastAsia="Titillium" w:hAnsi="Titillium"/>
                <w:sz w:val="21"/>
                <w:szCs w:val="21"/>
              </w:rPr>
            </w:pPr>
            <w:r w:rsidDel="00000000" w:rsidR="00000000" w:rsidRPr="00000000">
              <w:rPr>
                <w:rtl w:val="0"/>
              </w:rPr>
            </w:r>
          </w:p>
          <w:p w:rsidR="00000000" w:rsidDel="00000000" w:rsidP="00000000" w:rsidRDefault="00000000" w:rsidRPr="00000000" w14:paraId="000000B6">
            <w:pPr>
              <w:tabs>
                <w:tab w:val="left" w:leader="none" w:pos="2880"/>
              </w:tabs>
              <w:spacing w:after="120" w:line="480" w:lineRule="auto"/>
              <w:ind w:firstLine="10"/>
              <w:jc w:val="center"/>
              <w:rPr>
                <w:rFonts w:ascii="Titillium" w:cs="Titillium" w:eastAsia="Titillium" w:hAnsi="Titillium"/>
                <w:sz w:val="21"/>
                <w:szCs w:val="21"/>
              </w:rPr>
            </w:pPr>
            <w:r w:rsidDel="00000000" w:rsidR="00000000" w:rsidRPr="00000000">
              <w:rPr>
                <w:rFonts w:ascii="Titillium" w:cs="Titillium" w:eastAsia="Titillium" w:hAnsi="Titillium"/>
                <w:sz w:val="21"/>
                <w:szCs w:val="21"/>
                <w:rtl w:val="0"/>
              </w:rPr>
              <w:t xml:space="preserve">Documento informatico firmato digitalmente ai sensi del D.lgs. 235/2010 e del D.P.R. n. 445/2000 e norme collegate, il quale sostituisce il documento cartaceo e la firma autografa</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center"/>
          </w:tcPr>
          <w:p w:rsidR="00000000" w:rsidDel="00000000" w:rsidP="00000000" w:rsidRDefault="00000000" w:rsidRPr="00000000" w14:paraId="000000B7">
            <w:pPr>
              <w:spacing w:after="120" w:line="480" w:lineRule="auto"/>
              <w:ind w:firstLine="10"/>
              <w:rPr>
                <w:rFonts w:ascii="Titillium" w:cs="Titillium" w:eastAsia="Titillium" w:hAnsi="Titillium"/>
                <w:sz w:val="21"/>
                <w:szCs w:val="2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B8">
            <w:pPr>
              <w:spacing w:after="120" w:line="480" w:lineRule="auto"/>
              <w:ind w:firstLine="10"/>
              <w:rPr>
                <w:rFonts w:ascii="Titillium" w:cs="Titillium" w:eastAsia="Titillium" w:hAnsi="Titillium"/>
                <w:sz w:val="21"/>
                <w:szCs w:val="21"/>
              </w:rPr>
            </w:pPr>
            <w:r w:rsidDel="00000000" w:rsidR="00000000" w:rsidRPr="00000000">
              <w:rPr>
                <w:rtl w:val="0"/>
              </w:rPr>
            </w:r>
          </w:p>
        </w:tc>
      </w:tr>
    </w:tbl>
    <w:p w:rsidR="00000000" w:rsidDel="00000000" w:rsidP="00000000" w:rsidRDefault="00000000" w:rsidRPr="00000000" w14:paraId="000000B9">
      <w:pPr>
        <w:spacing w:after="120" w:line="480" w:lineRule="auto"/>
        <w:ind w:firstLine="10"/>
        <w:rPr>
          <w:rFonts w:ascii="Titillium" w:cs="Titillium" w:eastAsia="Titillium" w:hAnsi="Titillium"/>
          <w:sz w:val="21"/>
          <w:szCs w:val="21"/>
        </w:rPr>
      </w:pPr>
      <w:r w:rsidDel="00000000" w:rsidR="00000000" w:rsidRPr="00000000">
        <w:rPr>
          <w:rFonts w:ascii="Titillium" w:cs="Titillium" w:eastAsia="Titillium" w:hAnsi="Titillium"/>
          <w:sz w:val="21"/>
          <w:szCs w:val="21"/>
          <w:rtl w:val="0"/>
        </w:rPr>
        <w:t xml:space="preserve">Si allega: </w:t>
      </w:r>
    </w:p>
    <w:p w:rsidR="00000000" w:rsidDel="00000000" w:rsidP="00000000" w:rsidRDefault="00000000" w:rsidRPr="00000000" w14:paraId="000000BA">
      <w:pPr>
        <w:numPr>
          <w:ilvl w:val="0"/>
          <w:numId w:val="3"/>
        </w:numPr>
        <w:pBdr>
          <w:top w:space="0" w:sz="0" w:val="nil"/>
          <w:left w:space="0" w:sz="0" w:val="nil"/>
          <w:bottom w:space="0" w:sz="0" w:val="nil"/>
          <w:right w:space="0" w:sz="0" w:val="nil"/>
          <w:between w:space="0" w:sz="0" w:val="nil"/>
        </w:pBdr>
        <w:tabs>
          <w:tab w:val="left" w:leader="none" w:pos="567"/>
          <w:tab w:val="right" w:leader="none" w:pos="9072"/>
        </w:tabs>
        <w:spacing w:after="120" w:line="480" w:lineRule="auto"/>
        <w:ind w:left="720" w:hanging="360"/>
        <w:jc w:val="left"/>
        <w:rPr>
          <w:rFonts w:ascii="Titillium" w:cs="Titillium" w:eastAsia="Titillium" w:hAnsi="Titillium"/>
          <w:sz w:val="21"/>
          <w:szCs w:val="21"/>
        </w:rPr>
      </w:pPr>
      <w:r w:rsidDel="00000000" w:rsidR="00000000" w:rsidRPr="00000000">
        <w:rPr>
          <w:rFonts w:ascii="Titillium" w:cs="Titillium" w:eastAsia="Titillium" w:hAnsi="Titillium"/>
          <w:sz w:val="21"/>
          <w:szCs w:val="21"/>
          <w:rtl w:val="0"/>
        </w:rPr>
        <w:t xml:space="preserve">(</w:t>
      </w:r>
      <w:r w:rsidDel="00000000" w:rsidR="00000000" w:rsidRPr="00000000">
        <w:rPr>
          <w:rFonts w:ascii="Titillium" w:cs="Titillium" w:eastAsia="Titillium" w:hAnsi="Titillium"/>
          <w:i w:val="1"/>
          <w:iCs w:val="1"/>
          <w:sz w:val="21"/>
          <w:szCs w:val="21"/>
          <w:rtl w:val="0"/>
        </w:rPr>
        <w:t xml:space="preserve">eventuale</w:t>
      </w:r>
      <w:r w:rsidDel="00000000" w:rsidR="00000000" w:rsidRPr="00000000">
        <w:rPr>
          <w:rFonts w:ascii="Titillium" w:cs="Titillium" w:eastAsia="Titillium" w:hAnsi="Titillium"/>
          <w:sz w:val="21"/>
          <w:szCs w:val="21"/>
          <w:rtl w:val="0"/>
        </w:rPr>
        <w:t xml:space="preserve">) Copia conforme all’originale della procura</w:t>
      </w:r>
    </w:p>
    <w:p w:rsidR="00000000" w:rsidDel="00000000" w:rsidP="00000000" w:rsidRDefault="00000000" w:rsidRPr="00000000" w14:paraId="000000BB">
      <w:pPr>
        <w:ind w:firstLine="10"/>
        <w:rPr>
          <w:rFonts w:ascii="Titillium" w:cs="Titillium" w:eastAsia="Titillium" w:hAnsi="Titillium"/>
        </w:rPr>
      </w:pPr>
      <w:r w:rsidDel="00000000" w:rsidR="00000000" w:rsidRPr="00000000">
        <w:rPr>
          <w:rtl w:val="0"/>
        </w:rPr>
      </w:r>
    </w:p>
    <w:p w:rsidR="00000000" w:rsidDel="00000000" w:rsidP="00000000" w:rsidRDefault="00000000" w:rsidRPr="00000000" w14:paraId="000000BC">
      <w:pPr>
        <w:spacing w:after="0" w:line="259" w:lineRule="auto"/>
        <w:ind w:left="5529" w:firstLine="0"/>
        <w:jc w:val="left"/>
        <w:rPr>
          <w:rFonts w:ascii="Titillium" w:cs="Titillium" w:eastAsia="Titillium" w:hAnsi="Titillium"/>
          <w:i w:val="1"/>
          <w:iCs w:val="1"/>
          <w:sz w:val="20"/>
          <w:szCs w:val="20"/>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40" w:w="11900" w:orient="portrait"/>
      <w:pgMar w:bottom="912" w:top="1701" w:left="1134" w:right="1125" w:header="762" w:footer="37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itillium"/>
  <w:font w:name="Arim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Quattrocento Sans">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Noto Sans Symbols">
    <w:embedRegular w:fontKey="{00000000-0000-0000-0000-000000000000}" r:id="rId13" w:subsetted="0"/>
    <w:embedBold w:fontKey="{00000000-0000-0000-0000-000000000000}" r:id="rId1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9">
    <w:pPr>
      <w:spacing w:after="0" w:line="259" w:lineRule="auto"/>
      <w:ind w:left="0" w:right="2" w:firstLine="0"/>
      <w:jc w:val="center"/>
      <w:rPr>
        <w:rFonts w:ascii="Titillium" w:cs="Titillium" w:eastAsia="Titillium" w:hAnsi="Titillium"/>
      </w:rPr>
    </w:pPr>
    <w:r w:rsidDel="00000000" w:rsidR="00000000" w:rsidRPr="00000000">
      <w:rPr>
        <w:rFonts w:ascii="Titillium" w:cs="Titillium" w:eastAsia="Titillium" w:hAnsi="Titillium"/>
        <w:sz w:val="18"/>
        <w:szCs w:val="18"/>
        <w:rtl w:val="0"/>
      </w:rPr>
      <w:t xml:space="preserve">Pag. </w:t>
    </w:r>
    <w:r w:rsidDel="00000000" w:rsidR="00000000" w:rsidRPr="00000000">
      <w:rPr>
        <w:rFonts w:ascii="Titillium" w:cs="Titillium" w:eastAsia="Titillium" w:hAnsi="Titillium"/>
      </w:rPr>
      <w:fldChar w:fldCharType="begin"/>
      <w:instrText xml:space="preserve">PAGE</w:instrText>
      <w:fldChar w:fldCharType="separate"/>
      <w:fldChar w:fldCharType="end"/>
    </w:r>
    <w:r w:rsidDel="00000000" w:rsidR="00000000" w:rsidRPr="00000000">
      <w:rPr>
        <w:rFonts w:ascii="Titillium" w:cs="Titillium" w:eastAsia="Titillium" w:hAnsi="Titillium"/>
        <w:sz w:val="18"/>
        <w:szCs w:val="18"/>
        <w:rtl w:val="0"/>
      </w:rPr>
      <w:t xml:space="preserve"> di </w:t>
    </w:r>
    <w:r w:rsidDel="00000000" w:rsidR="00000000" w:rsidRPr="00000000">
      <w:rPr>
        <w:rFonts w:ascii="Titillium" w:cs="Titillium" w:eastAsia="Titillium" w:hAnsi="Titillium"/>
      </w:rPr>
      <w:fldChar w:fldCharType="begin"/>
      <w:instrText xml:space="preserve">NUMPAGES</w:instrText>
      <w:fldChar w:fldCharType="separate"/>
      <w:fldChar w:fldCharType="end"/>
    </w:r>
    <w:r w:rsidDel="00000000" w:rsidR="00000000" w:rsidRPr="00000000">
      <w:rPr>
        <w:rFonts w:ascii="Titillium" w:cs="Titillium" w:eastAsia="Titillium" w:hAnsi="Titillium"/>
        <w:sz w:val="18"/>
        <w:szCs w:val="18"/>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A">
    <w:pPr>
      <w:spacing w:after="0" w:line="259" w:lineRule="auto"/>
      <w:ind w:left="0" w:right="2" w:firstLine="0"/>
      <w:jc w:val="center"/>
      <w:rPr/>
    </w:pPr>
    <w:r w:rsidDel="00000000" w:rsidR="00000000" w:rsidRPr="00000000">
      <w:rPr>
        <w:sz w:val="18"/>
        <w:szCs w:val="18"/>
        <w:rtl w:val="0"/>
      </w:rPr>
      <w:t xml:space="preserve">Pag. </w:t>
    </w:r>
    <w:r w:rsidDel="00000000" w:rsidR="00000000" w:rsidRPr="00000000">
      <w:rPr/>
      <w:fldChar w:fldCharType="begin"/>
      <w:instrText xml:space="preserve">PAGE</w:instrText>
      <w:fldChar w:fldCharType="separate"/>
      <w:fldChar w:fldCharType="end"/>
    </w:r>
    <w:r w:rsidDel="00000000" w:rsidR="00000000" w:rsidRPr="00000000">
      <w:rPr>
        <w:sz w:val="18"/>
        <w:szCs w:val="18"/>
        <w:rtl w:val="0"/>
      </w:rPr>
      <w:t xml:space="preserve"> di </w:t>
    </w:r>
    <w:r w:rsidDel="00000000" w:rsidR="00000000" w:rsidRPr="00000000">
      <w:rPr/>
      <w:fldChar w:fldCharType="begin"/>
      <w:instrText xml:space="preserve">NUMPAGES</w:instrText>
      <w:fldChar w:fldCharType="separate"/>
      <w:fldChar w:fldCharType="end"/>
    </w:r>
    <w:r w:rsidDel="00000000" w:rsidR="00000000" w:rsidRPr="00000000">
      <w:rPr>
        <w:sz w:val="18"/>
        <w:szCs w:val="18"/>
        <w:rtl w:val="0"/>
      </w:rPr>
      <w:t xml:space="preserve">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spacing w:after="0" w:line="259" w:lineRule="auto"/>
      <w:ind w:left="0" w:right="2" w:firstLine="0"/>
      <w:jc w:val="center"/>
      <w:rPr/>
    </w:pPr>
    <w:r w:rsidDel="00000000" w:rsidR="00000000" w:rsidRPr="00000000">
      <w:rPr>
        <w:sz w:val="18"/>
        <w:szCs w:val="18"/>
        <w:rtl w:val="0"/>
      </w:rPr>
      <w:t xml:space="preserve">Pag. </w:t>
    </w:r>
    <w:r w:rsidDel="00000000" w:rsidR="00000000" w:rsidRPr="00000000">
      <w:rPr/>
      <w:fldChar w:fldCharType="begin"/>
      <w:instrText xml:space="preserve">PAGE</w:instrText>
      <w:fldChar w:fldCharType="separate"/>
      <w:fldChar w:fldCharType="end"/>
    </w:r>
    <w:r w:rsidDel="00000000" w:rsidR="00000000" w:rsidRPr="00000000">
      <w:rPr>
        <w:sz w:val="18"/>
        <w:szCs w:val="18"/>
        <w:rtl w:val="0"/>
      </w:rPr>
      <w:t xml:space="preserve"> di </w:t>
    </w:r>
    <w:r w:rsidDel="00000000" w:rsidR="00000000" w:rsidRPr="00000000">
      <w:rPr/>
      <w:fldChar w:fldCharType="begin"/>
      <w:instrText xml:space="preserve">NUMPAGES</w:instrText>
      <w:fldChar w:fldCharType="separate"/>
      <w:fldChar w:fldCharType="end"/>
    </w:r>
    <w:r w:rsidDel="00000000" w:rsidR="00000000" w:rsidRPr="00000000">
      <w:rPr>
        <w:sz w:val="18"/>
        <w:szCs w:val="18"/>
        <w:rtl w:val="0"/>
      </w:rPr>
      <w:t xml:space="preserve"> </w:t>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both"/>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tillium" w:cs="Titillium" w:eastAsia="Titillium" w:hAnsi="Titillium"/>
          <w:b w:val="1"/>
          <w:bCs w:val="1"/>
          <w:i w:val="0"/>
          <w:iCs w:val="0"/>
          <w:smallCaps w:val="0"/>
          <w:strike w:val="0"/>
          <w:color w:val="000000"/>
          <w:sz w:val="18"/>
          <w:szCs w:val="18"/>
          <w:u w:val="none"/>
          <w:shd w:fill="auto" w:val="clear"/>
          <w:vertAlign w:val="baseline"/>
          <w:rtl w:val="0"/>
        </w:rPr>
        <w:t xml:space="preserve">Elenco dei Soggetti:</w:t>
      </w:r>
      <w:r w:rsidDel="00000000" w:rsidR="00000000" w:rsidRPr="00000000">
        <w:rPr>
          <w:rtl w:val="0"/>
        </w:rPr>
      </w:r>
    </w:p>
    <w:p w:rsidR="00000000" w:rsidDel="00000000" w:rsidP="00000000" w:rsidRDefault="00000000" w:rsidRPr="00000000" w14:paraId="000000B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tillium" w:cs="Titillium" w:eastAsia="Titillium" w:hAnsi="Titillium"/>
          <w:b w:val="0"/>
          <w:bCs w:val="0"/>
          <w:i w:val="0"/>
          <w:iCs w:val="0"/>
          <w:smallCaps w:val="0"/>
          <w:strike w:val="0"/>
          <w:color w:val="000000"/>
          <w:sz w:val="20"/>
          <w:szCs w:val="20"/>
          <w:u w:val="none"/>
          <w:shd w:fill="auto" w:val="clear"/>
          <w:vertAlign w:val="baseline"/>
          <w:rtl w:val="0"/>
        </w:rPr>
        <w:t xml:space="preserve">l’operatore economico, come definito ai sensi e nei termini di cui al decreto legislativo 8 giugno 2001, n. 231</w:t>
      </w:r>
      <w:r w:rsidDel="00000000" w:rsidR="00000000" w:rsidRPr="00000000">
        <w:rPr>
          <w:rtl w:val="0"/>
        </w:rPr>
      </w:r>
    </w:p>
    <w:p w:rsidR="00000000" w:rsidDel="00000000" w:rsidP="00000000" w:rsidRDefault="00000000" w:rsidRPr="00000000" w14:paraId="000000B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Titillium" w:cs="Titillium" w:eastAsia="Titillium" w:hAnsi="Titillium"/>
          <w:b w:val="0"/>
          <w:bCs w:val="0"/>
          <w:i w:val="0"/>
          <w:iCs w:val="0"/>
          <w:smallCaps w:val="0"/>
          <w:strike w:val="0"/>
          <w:color w:val="000000"/>
          <w:sz w:val="18"/>
          <w:szCs w:val="18"/>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18"/>
          <w:szCs w:val="18"/>
          <w:u w:val="none"/>
          <w:shd w:fill="auto" w:val="clear"/>
          <w:vertAlign w:val="baseline"/>
          <w:rtl w:val="0"/>
        </w:rPr>
        <w:t xml:space="preserve">il titolare o il direttore tecnico, se si tratta di impresa individuale</w:t>
      </w:r>
    </w:p>
    <w:p w:rsidR="00000000" w:rsidDel="00000000" w:rsidP="00000000" w:rsidRDefault="00000000" w:rsidRPr="00000000" w14:paraId="000000C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Titillium" w:cs="Titillium" w:eastAsia="Titillium" w:hAnsi="Titillium"/>
          <w:b w:val="0"/>
          <w:bCs w:val="0"/>
          <w:i w:val="0"/>
          <w:iCs w:val="0"/>
          <w:smallCaps w:val="0"/>
          <w:strike w:val="0"/>
          <w:color w:val="000000"/>
          <w:sz w:val="18"/>
          <w:szCs w:val="18"/>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18"/>
          <w:szCs w:val="18"/>
          <w:u w:val="none"/>
          <w:shd w:fill="auto" w:val="clear"/>
          <w:vertAlign w:val="baseline"/>
          <w:rtl w:val="0"/>
        </w:rPr>
        <w:t xml:space="preserve">un socio amministratore o il direttore tecnico, se si tratta di società in nome collettivo</w:t>
      </w:r>
    </w:p>
    <w:p w:rsidR="00000000" w:rsidDel="00000000" w:rsidP="00000000" w:rsidRDefault="00000000" w:rsidRPr="00000000" w14:paraId="000000C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Titillium" w:cs="Titillium" w:eastAsia="Titillium" w:hAnsi="Titillium"/>
          <w:b w:val="0"/>
          <w:bCs w:val="0"/>
          <w:i w:val="0"/>
          <w:iCs w:val="0"/>
          <w:smallCaps w:val="0"/>
          <w:strike w:val="0"/>
          <w:color w:val="000000"/>
          <w:sz w:val="18"/>
          <w:szCs w:val="18"/>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18"/>
          <w:szCs w:val="18"/>
          <w:u w:val="none"/>
          <w:shd w:fill="auto" w:val="clear"/>
          <w:vertAlign w:val="baseline"/>
          <w:rtl w:val="0"/>
        </w:rPr>
        <w:t xml:space="preserve">i soci accomandatari o il direttore tecnico, se si tratta di società in accomandita semplice</w:t>
      </w:r>
    </w:p>
    <w:p w:rsidR="00000000" w:rsidDel="00000000" w:rsidP="00000000" w:rsidRDefault="00000000" w:rsidRPr="00000000" w14:paraId="000000C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Garamond" w:cs="Garamond" w:eastAsia="Garamond" w:hAnsi="Garamond"/>
          <w:b w:val="0"/>
          <w:bCs w:val="0"/>
          <w:i w:val="0"/>
          <w:iCs w:val="0"/>
          <w:smallCaps w:val="0"/>
          <w:strike w:val="0"/>
          <w:color w:val="000000"/>
          <w:sz w:val="18"/>
          <w:szCs w:val="18"/>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18"/>
          <w:szCs w:val="18"/>
          <w:u w:val="none"/>
          <w:shd w:fill="auto" w:val="clear"/>
          <w:vertAlign w:val="baseline"/>
          <w:rtl w:val="0"/>
        </w:rPr>
        <w:t xml:space="preserve">i membri del consiglio di amministrazione cui sia stata conferita la legale rappresentanza, ivi compresi gli institori e i procuratori generali</w:t>
      </w:r>
      <w:r w:rsidDel="00000000" w:rsidR="00000000" w:rsidRPr="00000000">
        <w:rPr>
          <w:rtl w:val="0"/>
        </w:rPr>
      </w:r>
    </w:p>
    <w:p w:rsidR="00000000" w:rsidDel="00000000" w:rsidP="00000000" w:rsidRDefault="00000000" w:rsidRPr="00000000" w14:paraId="000000C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Titillium" w:cs="Titillium" w:eastAsia="Titillium" w:hAnsi="Titillium"/>
          <w:b w:val="0"/>
          <w:bCs w:val="0"/>
          <w:i w:val="0"/>
          <w:iCs w:val="0"/>
          <w:smallCaps w:val="0"/>
          <w:strike w:val="0"/>
          <w:color w:val="000000"/>
          <w:sz w:val="18"/>
          <w:szCs w:val="18"/>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18"/>
          <w:szCs w:val="18"/>
          <w:u w:val="none"/>
          <w:shd w:fill="auto" w:val="clear"/>
          <w:vertAlign w:val="baseline"/>
          <w:rtl w:val="0"/>
        </w:rPr>
        <w:t xml:space="preserve">i componenti degli organi con poteri di direzione o di vigilanza o dei soggetti muniti di poteri di rappresentanza, di direzione o di controllo</w:t>
      </w:r>
    </w:p>
    <w:p w:rsidR="00000000" w:rsidDel="00000000" w:rsidP="00000000" w:rsidRDefault="00000000" w:rsidRPr="00000000" w14:paraId="000000C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Titillium" w:cs="Titillium" w:eastAsia="Titillium" w:hAnsi="Titillium"/>
          <w:b w:val="0"/>
          <w:bCs w:val="0"/>
          <w:i w:val="0"/>
          <w:iCs w:val="0"/>
          <w:smallCaps w:val="0"/>
          <w:strike w:val="0"/>
          <w:color w:val="000000"/>
          <w:sz w:val="18"/>
          <w:szCs w:val="18"/>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18"/>
          <w:szCs w:val="18"/>
          <w:u w:val="none"/>
          <w:shd w:fill="auto" w:val="clear"/>
          <w:vertAlign w:val="baseline"/>
          <w:rtl w:val="0"/>
        </w:rPr>
        <w:t xml:space="preserve">il direttore tecnico o il socio unico</w:t>
      </w:r>
    </w:p>
    <w:p w:rsidR="00000000" w:rsidDel="00000000" w:rsidP="00000000" w:rsidRDefault="00000000" w:rsidRPr="00000000" w14:paraId="000000C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Titillium" w:cs="Titillium" w:eastAsia="Titillium" w:hAnsi="Titillium"/>
          <w:b w:val="0"/>
          <w:bCs w:val="0"/>
          <w:i w:val="0"/>
          <w:iCs w:val="0"/>
          <w:smallCaps w:val="0"/>
          <w:strike w:val="0"/>
          <w:color w:val="000000"/>
          <w:sz w:val="22"/>
          <w:szCs w:val="22"/>
          <w:u w:val="none"/>
          <w:shd w:fill="auto" w:val="clear"/>
          <w:vertAlign w:val="baseline"/>
        </w:rPr>
      </w:pPr>
      <w:r w:rsidDel="00000000" w:rsidR="00000000" w:rsidRPr="00000000">
        <w:rPr>
          <w:rFonts w:ascii="Titillium" w:cs="Titillium" w:eastAsia="Titillium" w:hAnsi="Titillium"/>
          <w:b w:val="0"/>
          <w:bCs w:val="0"/>
          <w:i w:val="0"/>
          <w:iCs w:val="0"/>
          <w:smallCaps w:val="0"/>
          <w:strike w:val="0"/>
          <w:color w:val="000000"/>
          <w:sz w:val="18"/>
          <w:szCs w:val="18"/>
          <w:u w:val="none"/>
          <w:shd w:fill="auto" w:val="clear"/>
          <w:vertAlign w:val="baseline"/>
          <w:rtl w:val="0"/>
        </w:rPr>
        <w:t xml:space="preserve">l’amministratore di fatto</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spacing w:after="0" w:line="259" w:lineRule="auto"/>
      <w:ind w:left="-18" w:firstLine="0"/>
      <w:jc w:val="center"/>
      <w:rPr>
        <w:rFonts w:ascii="Titillium" w:cs="Titillium" w:eastAsia="Titillium" w:hAnsi="Titillium"/>
        <w:sz w:val="18"/>
        <w:szCs w:val="18"/>
      </w:rPr>
    </w:pPr>
    <w:r w:rsidDel="00000000" w:rsidR="00000000" w:rsidRPr="00000000">
      <w:rPr>
        <w:rFonts w:ascii="Titillium" w:cs="Titillium" w:eastAsia="Titillium" w:hAnsi="Titillium"/>
        <w:sz w:val="18"/>
        <w:szCs w:val="18"/>
        <w:rtl w:val="0"/>
      </w:rPr>
      <w:t xml:space="preserve">Da utilizzare su carta intestata dell’Operatore economico</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spacing w:after="0" w:line="259" w:lineRule="auto"/>
      <w:ind w:left="-18" w:firstLine="0"/>
      <w:jc w:val="left"/>
      <w:rPr/>
    </w:pPr>
    <w:r w:rsidDel="00000000" w:rsidR="00000000" w:rsidRPr="00000000">
      <w:rPr>
        <w:b w:val="1"/>
        <w:bCs w:val="1"/>
        <w:sz w:val="21"/>
        <w:szCs w:val="21"/>
        <w:rtl w:val="0"/>
      </w:rPr>
      <w:t xml:space="preserve">Documentazione amministrativa </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8">
    <w:pPr>
      <w:spacing w:after="0" w:line="259" w:lineRule="auto"/>
      <w:ind w:left="-18" w:firstLine="0"/>
      <w:jc w:val="left"/>
      <w:rPr/>
    </w:pPr>
    <w:r w:rsidDel="00000000" w:rsidR="00000000" w:rsidRPr="00000000">
      <w:rPr>
        <w:b w:val="1"/>
        <w:bCs w:val="1"/>
        <w:sz w:val="21"/>
        <w:szCs w:val="21"/>
        <w:rtl w:val="0"/>
      </w:rPr>
      <w:t xml:space="preserve">Documentazione amministrativa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67" w:hanging="425"/>
      </w:pPr>
      <w:rPr>
        <w:b w:val="0"/>
        <w:bCs w:val="0"/>
        <w:smallCaps w:val="0"/>
        <w:strike w:val="0"/>
        <w:sz w:val="21"/>
        <w:szCs w:val="21"/>
        <w:shd w:fill="auto" w:val="clear"/>
        <w:vertAlign w:val="baseline"/>
      </w:rPr>
    </w:lvl>
    <w:lvl w:ilvl="1">
      <w:start w:val="1"/>
      <w:numFmt w:val="lowerLetter"/>
      <w:lvlText w:val="%2)"/>
      <w:lvlJc w:val="left"/>
      <w:pPr>
        <w:ind w:left="1145" w:hanging="425"/>
      </w:pPr>
      <w:rPr>
        <w:smallCaps w:val="0"/>
        <w:strike w:val="0"/>
        <w:shd w:fill="auto" w:val="clear"/>
        <w:vertAlign w:val="baseline"/>
      </w:rPr>
    </w:lvl>
    <w:lvl w:ilvl="2">
      <w:start w:val="1"/>
      <w:numFmt w:val="decimal"/>
      <w:lvlText w:val="%3."/>
      <w:lvlJc w:val="left"/>
      <w:pPr>
        <w:ind w:left="1865" w:hanging="425"/>
      </w:pPr>
      <w:rPr>
        <w:smallCaps w:val="0"/>
        <w:strike w:val="0"/>
        <w:shd w:fill="auto" w:val="clear"/>
        <w:vertAlign w:val="baseline"/>
      </w:rPr>
    </w:lvl>
    <w:lvl w:ilvl="3">
      <w:start w:val="1"/>
      <w:numFmt w:val="decimal"/>
      <w:lvlText w:val="%4."/>
      <w:lvlJc w:val="left"/>
      <w:pPr>
        <w:ind w:left="2585" w:hanging="425"/>
      </w:pPr>
      <w:rPr>
        <w:smallCaps w:val="0"/>
        <w:strike w:val="0"/>
        <w:shd w:fill="auto" w:val="clear"/>
        <w:vertAlign w:val="baseline"/>
      </w:rPr>
    </w:lvl>
    <w:lvl w:ilvl="4">
      <w:start w:val="1"/>
      <w:numFmt w:val="decimal"/>
      <w:lvlText w:val="%5."/>
      <w:lvlJc w:val="left"/>
      <w:pPr>
        <w:ind w:left="3305" w:hanging="425"/>
      </w:pPr>
      <w:rPr>
        <w:smallCaps w:val="0"/>
        <w:strike w:val="0"/>
        <w:shd w:fill="auto" w:val="clear"/>
        <w:vertAlign w:val="baseline"/>
      </w:rPr>
    </w:lvl>
    <w:lvl w:ilvl="5">
      <w:start w:val="1"/>
      <w:numFmt w:val="decimal"/>
      <w:lvlText w:val="%6."/>
      <w:lvlJc w:val="left"/>
      <w:pPr>
        <w:ind w:left="4025" w:hanging="425"/>
      </w:pPr>
      <w:rPr>
        <w:smallCaps w:val="0"/>
        <w:strike w:val="0"/>
        <w:shd w:fill="auto" w:val="clear"/>
        <w:vertAlign w:val="baseline"/>
      </w:rPr>
    </w:lvl>
    <w:lvl w:ilvl="6">
      <w:start w:val="1"/>
      <w:numFmt w:val="decimal"/>
      <w:lvlText w:val="%7."/>
      <w:lvlJc w:val="left"/>
      <w:pPr>
        <w:ind w:left="4745" w:hanging="425"/>
      </w:pPr>
      <w:rPr>
        <w:smallCaps w:val="0"/>
        <w:strike w:val="0"/>
        <w:shd w:fill="auto" w:val="clear"/>
        <w:vertAlign w:val="baseline"/>
      </w:rPr>
    </w:lvl>
    <w:lvl w:ilvl="7">
      <w:start w:val="1"/>
      <w:numFmt w:val="decimal"/>
      <w:lvlText w:val="%8."/>
      <w:lvlJc w:val="left"/>
      <w:pPr>
        <w:ind w:left="5465" w:hanging="425"/>
      </w:pPr>
      <w:rPr>
        <w:smallCaps w:val="0"/>
        <w:strike w:val="0"/>
        <w:shd w:fill="auto" w:val="clear"/>
        <w:vertAlign w:val="baseline"/>
      </w:rPr>
    </w:lvl>
    <w:lvl w:ilvl="8">
      <w:start w:val="1"/>
      <w:numFmt w:val="decimal"/>
      <w:lvlText w:val="%9."/>
      <w:lvlJc w:val="left"/>
      <w:pPr>
        <w:ind w:left="6185" w:hanging="425"/>
      </w:pPr>
      <w:rPr>
        <w:smallCaps w:val="0"/>
        <w:strike w:val="0"/>
        <w:shd w:fill="auto" w:val="clear"/>
        <w:vertAlign w:val="baseline"/>
      </w:rPr>
    </w:lvl>
  </w:abstractNum>
  <w:abstractNum w:abstractNumId="2">
    <w:lvl w:ilvl="0">
      <w:start w:val="1"/>
      <w:numFmt w:val="lowerLetter"/>
      <w:lvlText w:val="%1)"/>
      <w:lvlJc w:val="left"/>
      <w:pPr>
        <w:ind w:left="993" w:hanging="284"/>
      </w:pPr>
      <w:rPr>
        <w:smallCaps w:val="0"/>
        <w:strike w:val="0"/>
        <w:shd w:fill="auto" w:val="clear"/>
        <w:vertAlign w:val="baseline"/>
      </w:rPr>
    </w:lvl>
    <w:lvl w:ilvl="1">
      <w:start w:val="1"/>
      <w:numFmt w:val="lowerLetter"/>
      <w:lvlText w:val="%2)"/>
      <w:lvlJc w:val="left"/>
      <w:pPr>
        <w:ind w:left="1004" w:hanging="284"/>
      </w:pPr>
      <w:rPr>
        <w:smallCaps w:val="0"/>
        <w:strike w:val="0"/>
        <w:shd w:fill="auto" w:val="clear"/>
        <w:vertAlign w:val="baseline"/>
      </w:rPr>
    </w:lvl>
    <w:lvl w:ilvl="2">
      <w:start w:val="1"/>
      <w:numFmt w:val="lowerLetter"/>
      <w:lvlText w:val="%3)"/>
      <w:lvlJc w:val="left"/>
      <w:pPr>
        <w:ind w:left="1724" w:hanging="284"/>
      </w:pPr>
      <w:rPr>
        <w:smallCaps w:val="0"/>
        <w:strike w:val="0"/>
        <w:shd w:fill="auto" w:val="clear"/>
        <w:vertAlign w:val="baseline"/>
      </w:rPr>
    </w:lvl>
    <w:lvl w:ilvl="3">
      <w:start w:val="1"/>
      <w:numFmt w:val="lowerLetter"/>
      <w:lvlText w:val="%4)"/>
      <w:lvlJc w:val="left"/>
      <w:pPr>
        <w:ind w:left="2444" w:hanging="284"/>
      </w:pPr>
      <w:rPr>
        <w:smallCaps w:val="0"/>
        <w:strike w:val="0"/>
        <w:shd w:fill="auto" w:val="clear"/>
        <w:vertAlign w:val="baseline"/>
      </w:rPr>
    </w:lvl>
    <w:lvl w:ilvl="4">
      <w:start w:val="1"/>
      <w:numFmt w:val="lowerLetter"/>
      <w:lvlText w:val="%5)"/>
      <w:lvlJc w:val="left"/>
      <w:pPr>
        <w:ind w:left="3164" w:hanging="284"/>
      </w:pPr>
      <w:rPr>
        <w:smallCaps w:val="0"/>
        <w:strike w:val="0"/>
        <w:shd w:fill="auto" w:val="clear"/>
        <w:vertAlign w:val="baseline"/>
      </w:rPr>
    </w:lvl>
    <w:lvl w:ilvl="5">
      <w:start w:val="1"/>
      <w:numFmt w:val="lowerLetter"/>
      <w:lvlText w:val="%6)"/>
      <w:lvlJc w:val="left"/>
      <w:pPr>
        <w:ind w:left="3884" w:hanging="284"/>
      </w:pPr>
      <w:rPr>
        <w:smallCaps w:val="0"/>
        <w:strike w:val="0"/>
        <w:shd w:fill="auto" w:val="clear"/>
        <w:vertAlign w:val="baseline"/>
      </w:rPr>
    </w:lvl>
    <w:lvl w:ilvl="6">
      <w:start w:val="1"/>
      <w:numFmt w:val="lowerLetter"/>
      <w:lvlText w:val="%7)"/>
      <w:lvlJc w:val="left"/>
      <w:pPr>
        <w:ind w:left="4604" w:hanging="284"/>
      </w:pPr>
      <w:rPr>
        <w:smallCaps w:val="0"/>
        <w:strike w:val="0"/>
        <w:shd w:fill="auto" w:val="clear"/>
        <w:vertAlign w:val="baseline"/>
      </w:rPr>
    </w:lvl>
    <w:lvl w:ilvl="7">
      <w:start w:val="1"/>
      <w:numFmt w:val="lowerLetter"/>
      <w:lvlText w:val="%8)"/>
      <w:lvlJc w:val="left"/>
      <w:pPr>
        <w:ind w:left="5324" w:hanging="284"/>
      </w:pPr>
      <w:rPr>
        <w:smallCaps w:val="0"/>
        <w:strike w:val="0"/>
        <w:shd w:fill="auto" w:val="clear"/>
        <w:vertAlign w:val="baseline"/>
      </w:rPr>
    </w:lvl>
    <w:lvl w:ilvl="8">
      <w:start w:val="1"/>
      <w:numFmt w:val="lowerLetter"/>
      <w:lvlText w:val="%9)"/>
      <w:lvlJc w:val="left"/>
      <w:pPr>
        <w:ind w:left="6044" w:hanging="284"/>
      </w:pPr>
      <w:rPr>
        <w:smallCaps w:val="0"/>
        <w:strike w:val="0"/>
        <w:shd w:fill="auto" w:val="clear"/>
        <w:vertAlign w:val="baseline"/>
      </w:rPr>
    </w:lvl>
  </w:abstractNum>
  <w:abstractNum w:abstractNumId="3">
    <w:lvl w:ilvl="0">
      <w:start w:val="1"/>
      <w:numFmt w:val="bullet"/>
      <w:lvlText w:val="▪"/>
      <w:lvlJc w:val="left"/>
      <w:pPr>
        <w:ind w:left="720" w:hanging="360"/>
      </w:pPr>
      <w:rPr>
        <w:rFonts w:ascii="Arimo" w:cs="Arimo" w:eastAsia="Arimo" w:hAnsi="Arimo"/>
        <w:b w:val="0"/>
        <w:bCs w:val="0"/>
        <w:i w:val="0"/>
        <w:iCs w:val="0"/>
        <w:smallCaps w:val="0"/>
        <w:strike w:val="0"/>
        <w:sz w:val="16"/>
        <w:szCs w:val="16"/>
        <w:shd w:fill="auto" w:val="clear"/>
        <w:vertAlign w:val="baseline"/>
      </w:rPr>
    </w:lvl>
    <w:lvl w:ilvl="1">
      <w:start w:val="1"/>
      <w:numFmt w:val="bullet"/>
      <w:lvlText w:val="□"/>
      <w:lvlJc w:val="left"/>
      <w:pPr>
        <w:ind w:left="1440" w:hanging="360"/>
      </w:pPr>
      <w:rPr>
        <w:rFonts w:ascii="Noto Sans Symbols" w:cs="Noto Sans Symbols" w:eastAsia="Noto Sans Symbols" w:hAnsi="Noto Sans Symbols"/>
        <w:b w:val="0"/>
        <w:bCs w:val="0"/>
        <w:i w:val="0"/>
        <w:iCs w:val="0"/>
        <w:smallCaps w:val="0"/>
        <w:strike w:val="0"/>
        <w:shd w:fill="auto" w:val="clear"/>
        <w:vertAlign w:val="baseline"/>
      </w:rPr>
    </w:lvl>
    <w:lvl w:ilvl="2">
      <w:start w:val="1"/>
      <w:numFmt w:val="bullet"/>
      <w:lvlText w:val="▪"/>
      <w:lvlJc w:val="left"/>
      <w:pPr>
        <w:ind w:left="2160" w:hanging="360"/>
      </w:pPr>
      <w:rPr>
        <w:rFonts w:ascii="Arimo" w:cs="Arimo" w:eastAsia="Arimo" w:hAnsi="Arimo"/>
        <w:b w:val="0"/>
        <w:bCs w:val="0"/>
        <w:i w:val="0"/>
        <w:iCs w:val="0"/>
        <w:smallCaps w:val="0"/>
        <w:strike w:val="0"/>
        <w:shd w:fill="auto" w:val="clear"/>
        <w:vertAlign w:val="baseline"/>
      </w:rPr>
    </w:lvl>
    <w:lvl w:ilvl="3">
      <w:start w:val="1"/>
      <w:numFmt w:val="bullet"/>
      <w:lvlText w:val="•"/>
      <w:lvlJc w:val="left"/>
      <w:pPr>
        <w:ind w:left="2835" w:hanging="315"/>
      </w:pPr>
      <w:rPr>
        <w:rFonts w:ascii="Arimo" w:cs="Arimo" w:eastAsia="Arimo" w:hAnsi="Arimo"/>
        <w:b w:val="0"/>
        <w:bCs w:val="0"/>
        <w:i w:val="0"/>
        <w:iCs w:val="0"/>
        <w:smallCaps w:val="0"/>
        <w:strike w:val="0"/>
        <w:shd w:fill="auto" w:val="clear"/>
        <w:vertAlign w:val="baseline"/>
      </w:rPr>
    </w:lvl>
    <w:lvl w:ilvl="4">
      <w:start w:val="1"/>
      <w:numFmt w:val="bullet"/>
      <w:lvlText w:val="□"/>
      <w:lvlJc w:val="left"/>
      <w:pPr>
        <w:ind w:left="3402" w:hanging="162"/>
      </w:pPr>
      <w:rPr>
        <w:rFonts w:ascii="Noto Sans Symbols" w:cs="Noto Sans Symbols" w:eastAsia="Noto Sans Symbols" w:hAnsi="Noto Sans Symbols"/>
        <w:b w:val="0"/>
        <w:bCs w:val="0"/>
        <w:i w:val="0"/>
        <w:iCs w:val="0"/>
        <w:smallCaps w:val="0"/>
        <w:strike w:val="0"/>
        <w:shd w:fill="auto" w:val="clear"/>
        <w:vertAlign w:val="baseline"/>
      </w:rPr>
    </w:lvl>
    <w:lvl w:ilvl="5">
      <w:start w:val="1"/>
      <w:numFmt w:val="bullet"/>
      <w:lvlText w:val="▪"/>
      <w:lvlJc w:val="left"/>
      <w:pPr>
        <w:ind w:left="4320" w:hanging="360"/>
      </w:pPr>
      <w:rPr>
        <w:rFonts w:ascii="Arimo" w:cs="Arimo" w:eastAsia="Arimo" w:hAnsi="Arimo"/>
        <w:b w:val="0"/>
        <w:bCs w:val="0"/>
        <w:i w:val="0"/>
        <w:iCs w:val="0"/>
        <w:smallCaps w:val="0"/>
        <w:strike w:val="0"/>
        <w:shd w:fill="auto" w:val="clear"/>
        <w:vertAlign w:val="baseline"/>
      </w:rPr>
    </w:lvl>
    <w:lvl w:ilvl="6">
      <w:start w:val="1"/>
      <w:numFmt w:val="bullet"/>
      <w:lvlText w:val="•"/>
      <w:lvlJc w:val="left"/>
      <w:pPr>
        <w:ind w:left="5040" w:hanging="360"/>
      </w:pPr>
      <w:rPr>
        <w:rFonts w:ascii="Arimo" w:cs="Arimo" w:eastAsia="Arimo" w:hAnsi="Arimo"/>
        <w:b w:val="0"/>
        <w:bCs w:val="0"/>
        <w:i w:val="0"/>
        <w:iCs w:val="0"/>
        <w:smallCaps w:val="0"/>
        <w:strike w:val="0"/>
        <w:shd w:fill="auto" w:val="clear"/>
        <w:vertAlign w:val="baseline"/>
      </w:rPr>
    </w:lvl>
    <w:lvl w:ilvl="7">
      <w:start w:val="1"/>
      <w:numFmt w:val="bullet"/>
      <w:lvlText w:val="□"/>
      <w:lvlJc w:val="left"/>
      <w:pPr>
        <w:ind w:left="5670" w:hanging="270"/>
      </w:pPr>
      <w:rPr>
        <w:rFonts w:ascii="Noto Sans Symbols" w:cs="Noto Sans Symbols" w:eastAsia="Noto Sans Symbols" w:hAnsi="Noto Sans Symbols"/>
        <w:b w:val="0"/>
        <w:bCs w:val="0"/>
        <w:i w:val="0"/>
        <w:iCs w:val="0"/>
        <w:smallCaps w:val="0"/>
        <w:strike w:val="0"/>
        <w:shd w:fill="auto" w:val="clear"/>
        <w:vertAlign w:val="baseline"/>
      </w:rPr>
    </w:lvl>
    <w:lvl w:ilvl="8">
      <w:start w:val="1"/>
      <w:numFmt w:val="bullet"/>
      <w:lvlText w:val="▪"/>
      <w:lvlJc w:val="left"/>
      <w:pPr>
        <w:ind w:left="6480" w:hanging="360"/>
      </w:pPr>
      <w:rPr>
        <w:rFonts w:ascii="Arimo" w:cs="Arimo" w:eastAsia="Arimo" w:hAnsi="Arimo"/>
        <w:b w:val="0"/>
        <w:bCs w:val="0"/>
        <w:i w:val="0"/>
        <w:iCs w:val="0"/>
        <w:smallCaps w:val="0"/>
        <w:strike w:val="0"/>
        <w:shd w:fill="auto" w:val="clear"/>
        <w:vertAlign w:val="baseline"/>
      </w:rPr>
    </w:lvl>
  </w:abstractNum>
  <w:abstractNum w:abstractNumId="4">
    <w:lvl w:ilvl="0">
      <w:start w:val="1"/>
      <w:numFmt w:val="bullet"/>
      <w:lvlText w:val="●"/>
      <w:lvlJc w:val="left"/>
      <w:pPr>
        <w:ind w:left="1287" w:hanging="360.0000000000002"/>
      </w:pPr>
      <w:rPr>
        <w:rFonts w:ascii="Noto Sans Symbols" w:cs="Noto Sans Symbols" w:eastAsia="Noto Sans Symbols" w:hAnsi="Noto Sans Symbols"/>
        <w:sz w:val="20"/>
        <w:szCs w:val="20"/>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rFonts w:ascii="Titillium" w:cs="Titillium" w:eastAsia="Titillium" w:hAnsi="Titillium"/>
        <w:sz w:val="18"/>
        <w:szCs w:val="18"/>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aramond" w:cs="Garamond" w:eastAsia="Garamond" w:hAnsi="Garamond"/>
        <w:sz w:val="22"/>
        <w:szCs w:val="22"/>
        <w:lang w:val="it"/>
      </w:rPr>
    </w:rPrDefault>
    <w:pPrDefault>
      <w:pPr>
        <w:spacing w:after="107" w:line="249" w:lineRule="auto"/>
        <w:ind w:left="1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16" w:before="0" w:line="259" w:lineRule="auto"/>
      <w:ind w:left="0" w:right="4" w:firstLine="0"/>
      <w:jc w:val="center"/>
    </w:pPr>
    <w:rPr>
      <w:rFonts w:ascii="Garamond" w:cs="Garamond" w:eastAsia="Garamond" w:hAnsi="Garamond"/>
      <w:b w:val="1"/>
      <w:bCs w:val="1"/>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 w:right="2" w:hanging="10"/>
      <w:jc w:val="center"/>
    </w:pPr>
    <w:rPr>
      <w:rFonts w:ascii="Garamond" w:cs="Garamond" w:eastAsia="Garamond" w:hAnsi="Garamond"/>
      <w:b w:val="1"/>
      <w:bCs w:val="1"/>
      <w:i w:val="0"/>
      <w:iCs w:val="0"/>
      <w:smallCaps w:val="0"/>
      <w:strike w:val="0"/>
      <w:color w:val="000000"/>
      <w:sz w:val="22"/>
      <w:szCs w:val="22"/>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spacing w:after="0" w:before="40" w:lineRule="auto"/>
    </w:pPr>
    <w:rPr>
      <w:rFonts w:ascii="Calibri" w:cs="Calibri" w:eastAsia="Calibri" w:hAnsi="Calibri"/>
      <w:color w:val="2e75b5"/>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link w:val="Titolo1"/>
    <w:rPr>
      <w:rFonts w:ascii="Garamond" w:cs="Garamond" w:eastAsia="Garamond" w:hAnsi="Garamond"/>
      <w:b w:val="1"/>
      <w:color w:val="000000"/>
      <w:sz w:val="24"/>
    </w:rPr>
  </w:style>
  <w:style w:type="character" w:styleId="Titolo2Carattere" w:customStyle="1">
    <w:name w:val="Titolo 2 Carattere"/>
    <w:link w:val="Titolo2"/>
    <w:rPr>
      <w:rFonts w:ascii="Garamond" w:cs="Garamond" w:eastAsia="Garamond" w:hAnsi="Garamond"/>
      <w:b w:val="1"/>
      <w:color w:val="000000"/>
      <w:sz w:val="22"/>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Paragrafoelenco">
    <w:name w:val="List Paragraph"/>
    <w:basedOn w:val="Normale"/>
    <w:uiPriority w:val="34"/>
    <w:qFormat w:val="1"/>
    <w:rsid w:val="00CF13A8"/>
    <w:pPr>
      <w:ind w:left="720"/>
      <w:contextualSpacing w:val="1"/>
    </w:pPr>
  </w:style>
  <w:style w:type="character" w:styleId="Titolo5Carattere" w:customStyle="1">
    <w:name w:val="Titolo 5 Carattere"/>
    <w:basedOn w:val="Carpredefinitoparagrafo"/>
    <w:link w:val="Titolo5"/>
    <w:uiPriority w:val="9"/>
    <w:semiHidden w:val="1"/>
    <w:rsid w:val="00CA4971"/>
    <w:rPr>
      <w:rFonts w:asciiTheme="majorHAnsi" w:cstheme="majorBidi" w:eastAsiaTheme="majorEastAsia" w:hAnsiTheme="majorHAnsi"/>
      <w:color w:val="2e74b5" w:themeColor="accent1" w:themeShade="0000BF"/>
    </w:rPr>
  </w:style>
  <w:style w:type="character" w:styleId="Collegamentoipertestuale">
    <w:name w:val="Hyperlink"/>
    <w:basedOn w:val="Carpredefinitoparagrafo"/>
    <w:uiPriority w:val="99"/>
    <w:unhideWhenUsed w:val="1"/>
    <w:rsid w:val="008A7EB1"/>
    <w:rPr>
      <w:color w:val="0563c1" w:themeColor="hyperlink"/>
      <w:u w:val="single"/>
    </w:rPr>
  </w:style>
  <w:style w:type="character" w:styleId="Collegamentovisitato">
    <w:name w:val="FollowedHyperlink"/>
    <w:basedOn w:val="Carpredefinitoparagrafo"/>
    <w:uiPriority w:val="99"/>
    <w:semiHidden w:val="1"/>
    <w:unhideWhenUsed w:val="1"/>
    <w:rsid w:val="008A7EB1"/>
    <w:rPr>
      <w:color w:val="954f72" w:themeColor="followedHyperlink"/>
      <w:u w:val="single"/>
    </w:rPr>
  </w:style>
  <w:style w:type="paragraph" w:styleId="Default" w:customStyle="1">
    <w:name w:val="Default"/>
    <w:rsid w:val="00135794"/>
    <w:pPr>
      <w:autoSpaceDE w:val="0"/>
      <w:autoSpaceDN w:val="0"/>
      <w:adjustRightInd w:val="0"/>
      <w:spacing w:after="0" w:line="240" w:lineRule="auto"/>
    </w:pPr>
    <w:rPr>
      <w:rFonts w:ascii="Lato" w:cs="Lato" w:hAnsi="Lato"/>
      <w:color w:val="000000"/>
      <w:sz w:val="24"/>
      <w:szCs w:val="24"/>
    </w:rPr>
  </w:style>
  <w:style w:type="paragraph" w:styleId="Testonotaapidipagina">
    <w:name w:val="footnote text"/>
    <w:basedOn w:val="Normale"/>
    <w:link w:val="TestonotaapidipaginaCarattere"/>
    <w:uiPriority w:val="99"/>
    <w:semiHidden w:val="1"/>
    <w:unhideWhenUsed w:val="1"/>
    <w:rsid w:val="005B224D"/>
    <w:pPr>
      <w:spacing w:after="0" w:line="240" w:lineRule="auto"/>
    </w:pPr>
    <w:rPr>
      <w:sz w:val="20"/>
      <w:szCs w:val="20"/>
    </w:rPr>
  </w:style>
  <w:style w:type="character" w:styleId="TestonotaapidipaginaCarattere" w:customStyle="1">
    <w:name w:val="Testo nota a piè di pagina Carattere"/>
    <w:basedOn w:val="Carpredefinitoparagrafo"/>
    <w:link w:val="Testonotaapidipagina"/>
    <w:uiPriority w:val="99"/>
    <w:semiHidden w:val="1"/>
    <w:rsid w:val="005B224D"/>
    <w:rPr>
      <w:rFonts w:ascii="Garamond" w:cs="Garamond" w:eastAsia="Garamond" w:hAnsi="Garamond"/>
      <w:color w:val="000000"/>
      <w:sz w:val="20"/>
      <w:szCs w:val="20"/>
    </w:rPr>
  </w:style>
  <w:style w:type="character" w:styleId="Rimandonotaapidipagina">
    <w:name w:val="footnote reference"/>
    <w:basedOn w:val="Carpredefinitoparagrafo"/>
    <w:uiPriority w:val="99"/>
    <w:semiHidden w:val="1"/>
    <w:unhideWhenUsed w:val="1"/>
    <w:rsid w:val="005B224D"/>
    <w:rPr>
      <w:vertAlign w:val="superscript"/>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1" Type="http://schemas.openxmlformats.org/officeDocument/2006/relationships/font" Target="fonts/QuattrocentoSans-italic.ttf"/><Relationship Id="rId10" Type="http://schemas.openxmlformats.org/officeDocument/2006/relationships/font" Target="fonts/QuattrocentoSans-bold.ttf"/><Relationship Id="rId13" Type="http://schemas.openxmlformats.org/officeDocument/2006/relationships/font" Target="fonts/NotoSansSymbols-regular.ttf"/><Relationship Id="rId12" Type="http://schemas.openxmlformats.org/officeDocument/2006/relationships/font" Target="fonts/QuattrocentoSans-boldItalic.ttf"/><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9" Type="http://schemas.openxmlformats.org/officeDocument/2006/relationships/font" Target="fonts/QuattrocentoSans-regular.ttf"/><Relationship Id="rId14" Type="http://schemas.openxmlformats.org/officeDocument/2006/relationships/font" Target="fonts/NotoSansSymbols-bold.ttf"/><Relationship Id="rId5" Type="http://schemas.openxmlformats.org/officeDocument/2006/relationships/font" Target="fonts/Arimo-regular.ttf"/><Relationship Id="rId6" Type="http://schemas.openxmlformats.org/officeDocument/2006/relationships/font" Target="fonts/Arimo-bold.ttf"/><Relationship Id="rId7" Type="http://schemas.openxmlformats.org/officeDocument/2006/relationships/font" Target="fonts/Arimo-italic.ttf"/><Relationship Id="rId8" Type="http://schemas.openxmlformats.org/officeDocument/2006/relationships/font" Target="fonts/Arimo-boldItalic.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PkBC7xHtITNfCvgH3IOJAlVqxA==">CgMxLjAaMAoBMBIrCikIB0IlChFRdWF0dHJvY2VudG8gU2FucxIQQXJpYWwgVW5pY29kZSBNUxowCgExEisKKQgHQiUKEVF1YXR0cm9jZW50byBTYW5zEhBBcmlhbCBVbmljb2RlIE1TGjAKATISKwopCAdCJQoRUXVhdHRyb2NlbnRvIFNhbnMSEEFyaWFsIFVuaWNvZGUgTVMaMAoBMxIrCikIB0IlChFRdWF0dHJvY2VudG8gU2FucxIQQXJpYWwgVW5pY29kZSBNUzIIaC5namRneHMyCWguMzBqMHpsbDIJaC4xZm9iOXRlOAByITFWRHFGNWxjcFZROU50bFFoVzBOdVNTcUNVMHgxLUly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2025-12-18T14:25:00Z</dcterms:created>
  <dc:creator>Ignazio E.P. Porceddu</dc:creator>
</cp:coreProperties>
</file>