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A241FF" w14:textId="77777777" w:rsidR="00B157A5" w:rsidRPr="00B157A5" w:rsidRDefault="00B157A5" w:rsidP="00BA0C3E">
      <w:pPr>
        <w:spacing w:after="0" w:line="276" w:lineRule="auto"/>
        <w:jc w:val="center"/>
        <w:rPr>
          <w:rFonts w:ascii="Titillium Web" w:eastAsia="Calibri" w:hAnsi="Titillium Web" w:cs="Arial"/>
          <w:b/>
          <w:sz w:val="24"/>
          <w:szCs w:val="24"/>
        </w:rPr>
      </w:pPr>
      <w:bookmarkStart w:id="0" w:name="_GoBack"/>
      <w:bookmarkEnd w:id="0"/>
      <w:r w:rsidRPr="00B157A5">
        <w:rPr>
          <w:rFonts w:ascii="Titillium Web" w:eastAsia="Calibri" w:hAnsi="Titillium Web" w:cs="Arial"/>
          <w:b/>
          <w:sz w:val="24"/>
          <w:szCs w:val="24"/>
        </w:rPr>
        <w:t>PATTO DI INTEGRITA’</w:t>
      </w:r>
    </w:p>
    <w:p w14:paraId="249692F4" w14:textId="42E41368" w:rsidR="00BA0C3E" w:rsidRPr="00BA0C3E" w:rsidRDefault="00BA0C3E" w:rsidP="00BA0C3E">
      <w:pPr>
        <w:spacing w:after="200" w:line="276" w:lineRule="auto"/>
        <w:jc w:val="center"/>
        <w:rPr>
          <w:rFonts w:ascii="Titillium Web" w:eastAsia="Calibri" w:hAnsi="Titillium Web" w:cs="Arial"/>
          <w:sz w:val="18"/>
          <w:szCs w:val="24"/>
        </w:rPr>
      </w:pPr>
      <w:r w:rsidRPr="00BA0C3E">
        <w:rPr>
          <w:rFonts w:ascii="Titillium Web" w:eastAsia="Calibri" w:hAnsi="Titillium Web" w:cs="Arial"/>
          <w:sz w:val="18"/>
          <w:szCs w:val="24"/>
        </w:rPr>
        <w:t>Relativo alle procedure di gara o di affidamento finalizzate alla stipula di contratti pubblici</w:t>
      </w:r>
    </w:p>
    <w:p w14:paraId="31CAC23B" w14:textId="051EBE8A" w:rsidR="00B157A5" w:rsidRPr="00B157A5" w:rsidRDefault="000336FA" w:rsidP="00BA0C3E">
      <w:pPr>
        <w:spacing w:before="240" w:after="200" w:line="276" w:lineRule="auto"/>
        <w:jc w:val="both"/>
        <w:rPr>
          <w:rFonts w:ascii="Titillium Web" w:eastAsia="Calibri" w:hAnsi="Titillium Web" w:cs="Arial"/>
          <w:szCs w:val="24"/>
        </w:rPr>
      </w:pPr>
      <w:r>
        <w:rPr>
          <w:rFonts w:ascii="Titillium Web" w:eastAsia="Calibri" w:hAnsi="Titillium Web" w:cs="Arial"/>
          <w:szCs w:val="24"/>
        </w:rPr>
        <w:t>L</w:t>
      </w:r>
      <w:r w:rsidR="00B157A5" w:rsidRPr="00B157A5">
        <w:rPr>
          <w:rFonts w:ascii="Titillium Web" w:eastAsia="Calibri" w:hAnsi="Titillium Web" w:cs="Arial"/>
          <w:szCs w:val="24"/>
        </w:rPr>
        <w:t>o "Istituto Nazionale di Astrofisica</w:t>
      </w:r>
      <w:r>
        <w:rPr>
          <w:rFonts w:ascii="Titillium Web" w:eastAsia="Calibri" w:hAnsi="Titillium Web" w:cs="Arial"/>
          <w:szCs w:val="24"/>
        </w:rPr>
        <w:t xml:space="preserve"> – Osservatorio Astronomico di Cagliari</w:t>
      </w:r>
      <w:r w:rsidR="00B157A5" w:rsidRPr="00B157A5">
        <w:rPr>
          <w:rFonts w:ascii="Titillium Web" w:eastAsia="Calibri" w:hAnsi="Titillium Web" w:cs="Arial"/>
          <w:szCs w:val="24"/>
        </w:rPr>
        <w:t xml:space="preserve">" </w:t>
      </w:r>
      <w:r>
        <w:rPr>
          <w:rFonts w:ascii="Titillium Web" w:eastAsia="Calibri" w:hAnsi="Titillium Web" w:cs="Arial"/>
          <w:szCs w:val="24"/>
        </w:rPr>
        <w:t>(di</w:t>
      </w:r>
      <w:r w:rsidR="00B157A5" w:rsidRPr="00B157A5">
        <w:rPr>
          <w:rFonts w:ascii="Titillium Web" w:eastAsia="Calibri" w:hAnsi="Titillium Web" w:cs="Arial"/>
          <w:szCs w:val="24"/>
        </w:rPr>
        <w:t xml:space="preserve"> seguito denominato </w:t>
      </w:r>
      <w:r>
        <w:rPr>
          <w:rFonts w:ascii="Titillium Web" w:eastAsia="Calibri" w:hAnsi="Titillium Web" w:cs="Arial"/>
          <w:szCs w:val="24"/>
        </w:rPr>
        <w:t xml:space="preserve">“Istituto” o </w:t>
      </w:r>
      <w:r w:rsidR="00B157A5" w:rsidRPr="00B157A5">
        <w:rPr>
          <w:rFonts w:ascii="Titillium Web" w:eastAsia="Calibri" w:hAnsi="Titillium Web" w:cs="Arial"/>
          <w:szCs w:val="24"/>
        </w:rPr>
        <w:t>“</w:t>
      </w:r>
      <w:r>
        <w:rPr>
          <w:rFonts w:ascii="Titillium Web" w:eastAsia="Calibri" w:hAnsi="Titillium Web" w:cs="Arial"/>
          <w:szCs w:val="24"/>
        </w:rPr>
        <w:t>OACA</w:t>
      </w:r>
      <w:r w:rsidR="00B157A5" w:rsidRPr="00B157A5">
        <w:rPr>
          <w:rFonts w:ascii="Titillium Web" w:eastAsia="Calibri" w:hAnsi="Titillium Web" w:cs="Arial"/>
          <w:szCs w:val="24"/>
        </w:rPr>
        <w:t>”</w:t>
      </w:r>
      <w:r>
        <w:rPr>
          <w:rFonts w:ascii="Titillium Web" w:eastAsia="Calibri" w:hAnsi="Titillium Web" w:cs="Arial"/>
          <w:szCs w:val="24"/>
        </w:rPr>
        <w:t>), con sede in via della Scienza 5, Comune di Selargius (CA), nella per</w:t>
      </w:r>
      <w:r w:rsidR="00BA0C3E">
        <w:rPr>
          <w:rFonts w:ascii="Titillium Web" w:eastAsia="Calibri" w:hAnsi="Titillium Web" w:cs="Arial"/>
          <w:szCs w:val="24"/>
        </w:rPr>
        <w:t>sona della Direttrice, Dottore</w:t>
      </w:r>
      <w:r>
        <w:rPr>
          <w:rFonts w:ascii="Titillium Web" w:eastAsia="Calibri" w:hAnsi="Titillium Web" w:cs="Arial"/>
          <w:szCs w:val="24"/>
        </w:rPr>
        <w:t>ssa Federica Govoni</w:t>
      </w:r>
    </w:p>
    <w:p w14:paraId="4A8A2F2B" w14:textId="77777777" w:rsidR="00B157A5" w:rsidRPr="00B157A5" w:rsidRDefault="00B157A5" w:rsidP="00B157A5">
      <w:pPr>
        <w:spacing w:after="200" w:line="276" w:lineRule="auto"/>
        <w:jc w:val="center"/>
        <w:rPr>
          <w:rFonts w:ascii="Titillium Web" w:eastAsia="Calibri" w:hAnsi="Titillium Web" w:cs="Arial"/>
          <w:b/>
          <w:szCs w:val="24"/>
        </w:rPr>
      </w:pPr>
      <w:r w:rsidRPr="00B157A5">
        <w:rPr>
          <w:rFonts w:ascii="Titillium Web" w:eastAsia="Calibri" w:hAnsi="Titillium Web" w:cs="Arial"/>
          <w:b/>
          <w:szCs w:val="24"/>
        </w:rPr>
        <w:t>E</w:t>
      </w:r>
    </w:p>
    <w:p w14:paraId="32406761" w14:textId="54BD8668" w:rsidR="00B157A5" w:rsidRPr="00B157A5" w:rsidRDefault="000336FA" w:rsidP="00B157A5">
      <w:pPr>
        <w:spacing w:after="200" w:line="276" w:lineRule="auto"/>
        <w:jc w:val="both"/>
        <w:rPr>
          <w:rFonts w:ascii="Titillium Web" w:eastAsia="Calibri" w:hAnsi="Titillium Web" w:cs="Arial"/>
          <w:szCs w:val="24"/>
        </w:rPr>
      </w:pPr>
      <w:r>
        <w:rPr>
          <w:rFonts w:ascii="Titillium Web" w:eastAsia="Calibri" w:hAnsi="Titillium Web" w:cs="Arial"/>
          <w:szCs w:val="24"/>
        </w:rPr>
        <w:t>(denominazione Operatore economico)</w:t>
      </w:r>
      <w:r w:rsidR="00B157A5" w:rsidRPr="00B157A5">
        <w:rPr>
          <w:rFonts w:ascii="Titillium Web" w:eastAsia="Calibri" w:hAnsi="Titillium Web" w:cs="Arial"/>
          <w:szCs w:val="24"/>
        </w:rPr>
        <w:t xml:space="preserve"> _____________________________________</w:t>
      </w:r>
    </w:p>
    <w:p w14:paraId="6BCAB726" w14:textId="15E153F7" w:rsidR="00B157A5" w:rsidRPr="00B157A5" w:rsidRDefault="000336FA" w:rsidP="00B157A5">
      <w:pPr>
        <w:spacing w:after="200" w:line="276" w:lineRule="auto"/>
        <w:jc w:val="both"/>
        <w:rPr>
          <w:rFonts w:ascii="Titillium Web" w:eastAsia="Calibri" w:hAnsi="Titillium Web" w:cs="Arial"/>
          <w:szCs w:val="24"/>
        </w:rPr>
      </w:pPr>
      <w:r>
        <w:rPr>
          <w:rFonts w:ascii="Titillium Web" w:eastAsia="Calibri" w:hAnsi="Titillium Web" w:cs="Arial"/>
          <w:szCs w:val="24"/>
        </w:rPr>
        <w:t>con s</w:t>
      </w:r>
      <w:r w:rsidR="00B157A5" w:rsidRPr="00B157A5">
        <w:rPr>
          <w:rFonts w:ascii="Titillium Web" w:eastAsia="Calibri" w:hAnsi="Titillium Web" w:cs="Arial"/>
          <w:szCs w:val="24"/>
        </w:rPr>
        <w:t>ede legale</w:t>
      </w:r>
      <w:r>
        <w:rPr>
          <w:rFonts w:ascii="Titillium Web" w:eastAsia="Calibri" w:hAnsi="Titillium Web" w:cs="Arial"/>
          <w:szCs w:val="24"/>
        </w:rPr>
        <w:t xml:space="preserve"> in</w:t>
      </w:r>
      <w:r w:rsidR="00B157A5" w:rsidRPr="00B157A5">
        <w:rPr>
          <w:rFonts w:ascii="Titillium Web" w:eastAsia="Calibri" w:hAnsi="Titillium Web" w:cs="Arial"/>
          <w:szCs w:val="24"/>
        </w:rPr>
        <w:t xml:space="preserve"> ______________________________________________________</w:t>
      </w:r>
    </w:p>
    <w:p w14:paraId="5AE10E83" w14:textId="77777777" w:rsidR="00B157A5" w:rsidRPr="00B157A5" w:rsidRDefault="00B157A5" w:rsidP="00B157A5">
      <w:pPr>
        <w:spacing w:after="200" w:line="276" w:lineRule="auto"/>
        <w:jc w:val="both"/>
        <w:rPr>
          <w:rFonts w:ascii="Titillium Web" w:eastAsia="Calibri" w:hAnsi="Titillium Web" w:cs="Arial"/>
          <w:szCs w:val="24"/>
        </w:rPr>
      </w:pPr>
      <w:r w:rsidRPr="00B157A5">
        <w:rPr>
          <w:rFonts w:ascii="Titillium Web" w:eastAsia="Calibri" w:hAnsi="Titillium Web" w:cs="Arial"/>
          <w:szCs w:val="24"/>
        </w:rPr>
        <w:t>Codice fiscale: __________________________________________________</w:t>
      </w:r>
    </w:p>
    <w:p w14:paraId="06F68C0A" w14:textId="77777777" w:rsidR="00B157A5" w:rsidRPr="00B157A5" w:rsidRDefault="00B157A5" w:rsidP="00B157A5">
      <w:pPr>
        <w:spacing w:after="200" w:line="276" w:lineRule="auto"/>
        <w:jc w:val="both"/>
        <w:rPr>
          <w:rFonts w:ascii="Titillium Web" w:eastAsia="Calibri" w:hAnsi="Titillium Web" w:cs="Arial"/>
          <w:szCs w:val="24"/>
        </w:rPr>
      </w:pPr>
      <w:r w:rsidRPr="00B157A5">
        <w:rPr>
          <w:rFonts w:ascii="Titillium Web" w:eastAsia="Calibri" w:hAnsi="Titillium Web" w:cs="Arial"/>
          <w:szCs w:val="24"/>
        </w:rPr>
        <w:t>Partita IVA: ____________________________________________________</w:t>
      </w:r>
    </w:p>
    <w:p w14:paraId="3B6703F2" w14:textId="73DDAB81" w:rsidR="00B157A5" w:rsidRPr="00B157A5" w:rsidRDefault="000336FA" w:rsidP="00B157A5">
      <w:pPr>
        <w:spacing w:after="200" w:line="276" w:lineRule="auto"/>
        <w:jc w:val="both"/>
        <w:rPr>
          <w:rFonts w:ascii="Titillium Web" w:eastAsia="Calibri" w:hAnsi="Titillium Web" w:cs="Arial"/>
          <w:szCs w:val="24"/>
        </w:rPr>
      </w:pPr>
      <w:r>
        <w:rPr>
          <w:rFonts w:ascii="Titillium Web" w:eastAsia="Calibri" w:hAnsi="Titillium Web" w:cs="Arial"/>
          <w:szCs w:val="24"/>
        </w:rPr>
        <w:t>rappresentato da (cognome e nome del firmatario)</w:t>
      </w:r>
      <w:r w:rsidR="00B157A5" w:rsidRPr="00B157A5">
        <w:rPr>
          <w:rFonts w:ascii="Titillium Web" w:eastAsia="Calibri" w:hAnsi="Titillium Web" w:cs="Arial"/>
          <w:szCs w:val="24"/>
        </w:rPr>
        <w:t xml:space="preserve"> ________________</w:t>
      </w:r>
      <w:r>
        <w:rPr>
          <w:rFonts w:ascii="Titillium Web" w:eastAsia="Calibri" w:hAnsi="Titillium Web" w:cs="Arial"/>
          <w:szCs w:val="24"/>
        </w:rPr>
        <w:t>____________________</w:t>
      </w:r>
    </w:p>
    <w:p w14:paraId="7A0F2A1C" w14:textId="70F6C450" w:rsidR="00B157A5" w:rsidRPr="00B157A5" w:rsidRDefault="000336FA" w:rsidP="00B157A5">
      <w:pPr>
        <w:spacing w:after="200" w:line="276" w:lineRule="auto"/>
        <w:jc w:val="both"/>
        <w:rPr>
          <w:rFonts w:ascii="Titillium Web" w:eastAsia="Calibri" w:hAnsi="Titillium Web" w:cs="Arial"/>
          <w:szCs w:val="24"/>
        </w:rPr>
      </w:pPr>
      <w:r>
        <w:rPr>
          <w:rFonts w:ascii="Titillium Web" w:eastAsia="Calibri" w:hAnsi="Titillium Web" w:cs="Arial"/>
          <w:szCs w:val="24"/>
        </w:rPr>
        <w:t>in qualità di</w:t>
      </w:r>
      <w:r w:rsidR="00B157A5" w:rsidRPr="00B157A5">
        <w:rPr>
          <w:rFonts w:ascii="Titillium Web" w:eastAsia="Calibri" w:hAnsi="Titillium Web" w:cs="Arial"/>
          <w:szCs w:val="24"/>
        </w:rPr>
        <w:t xml:space="preserve"> _____</w:t>
      </w:r>
      <w:r w:rsidR="00DA11E8">
        <w:rPr>
          <w:rFonts w:ascii="Titillium Web" w:eastAsia="Calibri" w:hAnsi="Titillium Web" w:cs="Arial"/>
          <w:szCs w:val="24"/>
        </w:rPr>
        <w:t>______________________________ m</w:t>
      </w:r>
      <w:r w:rsidR="00B157A5" w:rsidRPr="00B157A5">
        <w:rPr>
          <w:rFonts w:ascii="Titillium Web" w:eastAsia="Calibri" w:hAnsi="Titillium Web" w:cs="Arial"/>
          <w:szCs w:val="24"/>
        </w:rPr>
        <w:t>unito dei relativi poteri</w:t>
      </w:r>
    </w:p>
    <w:p w14:paraId="5BA7B8EF" w14:textId="15F95501" w:rsidR="00B157A5" w:rsidRPr="00B157A5" w:rsidRDefault="00DA11E8" w:rsidP="00B157A5">
      <w:pPr>
        <w:spacing w:before="240" w:after="60" w:line="276" w:lineRule="auto"/>
        <w:jc w:val="center"/>
        <w:rPr>
          <w:rFonts w:ascii="Titillium Web" w:eastAsia="Calibri" w:hAnsi="Titillium Web" w:cs="Arial"/>
          <w:b/>
        </w:rPr>
      </w:pPr>
      <w:r>
        <w:rPr>
          <w:rFonts w:ascii="Titillium Web" w:eastAsia="Calibri" w:hAnsi="Titillium Web" w:cs="Arial"/>
          <w:b/>
        </w:rPr>
        <w:t>premesso c</w:t>
      </w:r>
      <w:r w:rsidR="00B157A5" w:rsidRPr="00B157A5">
        <w:rPr>
          <w:rFonts w:ascii="Titillium Web" w:eastAsia="Calibri" w:hAnsi="Titillium Web" w:cs="Arial"/>
          <w:b/>
        </w:rPr>
        <w:t>he</w:t>
      </w:r>
    </w:p>
    <w:p w14:paraId="4C6E8E94" w14:textId="230671A3" w:rsidR="00B157A5" w:rsidRPr="00B157A5" w:rsidRDefault="00B157A5" w:rsidP="00B157A5">
      <w:pPr>
        <w:spacing w:before="60" w:after="120" w:line="276" w:lineRule="auto"/>
        <w:jc w:val="both"/>
        <w:rPr>
          <w:rFonts w:ascii="Titillium Web" w:eastAsia="Calibri" w:hAnsi="Titillium Web" w:cs="Arial"/>
        </w:rPr>
      </w:pPr>
      <w:r w:rsidRPr="00B157A5">
        <w:rPr>
          <w:rFonts w:ascii="Titillium Web" w:eastAsia="Calibri" w:hAnsi="Titillium Web" w:cs="Arial"/>
        </w:rPr>
        <w:t xml:space="preserve">Per "Patto di Integrità" </w:t>
      </w:r>
      <w:r w:rsidR="00822D4B">
        <w:rPr>
          <w:rFonts w:ascii="Titillium Web" w:eastAsia="Calibri" w:hAnsi="Titillium Web" w:cs="Arial"/>
        </w:rPr>
        <w:t xml:space="preserve">(in seguito anche solo “Patto”) </w:t>
      </w:r>
      <w:r w:rsidRPr="00B157A5">
        <w:rPr>
          <w:rFonts w:ascii="Titillium Web" w:eastAsia="Calibri" w:hAnsi="Titillium Web" w:cs="Arial"/>
        </w:rPr>
        <w:t>si intende un accordo avente ad oggetto la regolamentazione del comportamento ispirato ai principi di lealtà, trasparenza e correttezza, nonché l'espresso impegno anticorruzione di non offrire, accettare o richiedere somme di denaro o qualsiasi altra ricompensa, vantaggio o beneficio, sia direttamente che indirettamente, tramite intermediari, al fine dell'assegnazione del contratto e/o al fine di distorcerne la relativa corretta esecuzione.</w:t>
      </w:r>
    </w:p>
    <w:p w14:paraId="486090DE" w14:textId="1042CCD5" w:rsidR="00B157A5" w:rsidRPr="00B157A5" w:rsidRDefault="00B157A5" w:rsidP="00B157A5">
      <w:pPr>
        <w:spacing w:before="60" w:after="120" w:line="276" w:lineRule="auto"/>
        <w:jc w:val="both"/>
        <w:rPr>
          <w:rFonts w:ascii="Titillium Web" w:eastAsia="Calibri" w:hAnsi="Titillium Web" w:cs="Arial"/>
        </w:rPr>
      </w:pPr>
      <w:r w:rsidRPr="00B157A5">
        <w:rPr>
          <w:rFonts w:ascii="Titillium Web" w:eastAsia="Calibri" w:hAnsi="Titillium Web" w:cs="Arial"/>
        </w:rPr>
        <w:t>Con l</w:t>
      </w:r>
      <w:r w:rsidR="00822D4B">
        <w:rPr>
          <w:rFonts w:ascii="Titillium Web" w:eastAsia="Calibri" w:hAnsi="Titillium Web" w:cs="Arial"/>
        </w:rPr>
        <w:t xml:space="preserve">'inserimento del </w:t>
      </w:r>
      <w:r w:rsidRPr="00B157A5">
        <w:rPr>
          <w:rFonts w:ascii="Titillium Web" w:eastAsia="Calibri" w:hAnsi="Titillium Web" w:cs="Arial"/>
        </w:rPr>
        <w:t>Patto nella documentazione di gara si intende garantire una leale concorrenza e pari opportunità di successo a tutti i partecipanti, nonché garantire una corretta e trasparente esecuzione del procedimento di selezione e affidamento.</w:t>
      </w:r>
    </w:p>
    <w:p w14:paraId="3BA26AF7" w14:textId="2D4EF896" w:rsidR="00B157A5" w:rsidRPr="00B157A5" w:rsidRDefault="00B157A5" w:rsidP="00B157A5">
      <w:pPr>
        <w:spacing w:before="60" w:after="120" w:line="276" w:lineRule="auto"/>
        <w:jc w:val="both"/>
        <w:rPr>
          <w:rFonts w:ascii="Titillium Web" w:eastAsia="Calibri" w:hAnsi="Titillium Web" w:cs="Arial"/>
        </w:rPr>
      </w:pPr>
      <w:r w:rsidRPr="00B157A5">
        <w:rPr>
          <w:rFonts w:ascii="Titillium Web" w:eastAsia="Calibri" w:hAnsi="Titillium Web" w:cs="Arial"/>
        </w:rPr>
        <w:t xml:space="preserve">Lo “Istituto”, in adesione ai principi della trasparenza delle attività amministrative, secondo le modalità e condizioni indicate di seguito, </w:t>
      </w:r>
      <w:r w:rsidR="00822D4B">
        <w:rPr>
          <w:rFonts w:ascii="Titillium Web" w:eastAsia="Calibri" w:hAnsi="Titillium Web" w:cs="Arial"/>
        </w:rPr>
        <w:t xml:space="preserve">verificherà l'applicazione del </w:t>
      </w:r>
      <w:r w:rsidRPr="00B157A5">
        <w:rPr>
          <w:rFonts w:ascii="Titillium Web" w:eastAsia="Calibri" w:hAnsi="Titillium Web" w:cs="Arial"/>
        </w:rPr>
        <w:t>Patto sia da parte dei partecipanti alla Trattativa, sia da parte dei propri dipendenti, collaboratori e consulenti impegnati ad ogni livello dell'espletamento della gara e nel controllo dell'esecuzione del relativo contratto.</w:t>
      </w:r>
    </w:p>
    <w:p w14:paraId="60EE6929" w14:textId="052B4F6C" w:rsidR="00B157A5" w:rsidRPr="00B157A5" w:rsidRDefault="00B157A5" w:rsidP="00B157A5">
      <w:pPr>
        <w:spacing w:before="60" w:after="240" w:line="276" w:lineRule="auto"/>
        <w:jc w:val="both"/>
        <w:rPr>
          <w:rFonts w:ascii="Titillium Web" w:eastAsia="Calibri" w:hAnsi="Titillium Web" w:cs="Arial"/>
        </w:rPr>
      </w:pPr>
      <w:r w:rsidRPr="00B157A5">
        <w:rPr>
          <w:rFonts w:ascii="Titillium Web" w:eastAsia="Calibri" w:hAnsi="Titillium Web" w:cs="Arial"/>
        </w:rPr>
        <w:t xml:space="preserve">Il presente Patto di integrità stabilisce la reciproca, formale obbligazione dello OACA e dei partecipanti alla procedura di </w:t>
      </w:r>
      <w:r w:rsidR="00822D4B">
        <w:rPr>
          <w:rFonts w:ascii="Titillium Web" w:eastAsia="Calibri" w:hAnsi="Titillium Web" w:cs="Arial"/>
        </w:rPr>
        <w:t>gara ovvero di affidamento</w:t>
      </w:r>
      <w:r w:rsidRPr="00B157A5">
        <w:rPr>
          <w:rFonts w:ascii="Titillium Web" w:eastAsia="Calibri" w:hAnsi="Titillium Web" w:cs="Arial"/>
        </w:rPr>
        <w:t xml:space="preserve">, di conformare i propri comportamenti ai principi di lealtà, trasparenza e correttezza nonché l’espresso impegno anticorruzione di non offrire, accettare o richiedere </w:t>
      </w:r>
      <w:r w:rsidRPr="00B157A5">
        <w:rPr>
          <w:rFonts w:ascii="Titillium Web" w:eastAsia="Calibri" w:hAnsi="Titillium Web" w:cs="Arial"/>
        </w:rPr>
        <w:lastRenderedPageBreak/>
        <w:t>somme di denaro o qualsiasi altra ricompensa, vantaggio o beneficio, sia direttamente che indirettamente tramite intermediari, al fine dell’assegnazione del contratto e/o al fine di distorcerne la relativa corretta esecuzione.</w:t>
      </w:r>
    </w:p>
    <w:p w14:paraId="35452528" w14:textId="77777777" w:rsidR="00B157A5" w:rsidRPr="00B157A5" w:rsidRDefault="00B157A5" w:rsidP="00B157A5">
      <w:pPr>
        <w:spacing w:before="240" w:after="60" w:line="276" w:lineRule="auto"/>
        <w:jc w:val="center"/>
        <w:rPr>
          <w:rFonts w:ascii="Titillium Web" w:eastAsia="Calibri" w:hAnsi="Titillium Web" w:cs="Arial"/>
          <w:b/>
        </w:rPr>
      </w:pPr>
      <w:r w:rsidRPr="00B157A5">
        <w:rPr>
          <w:rFonts w:ascii="Titillium Web" w:eastAsia="Calibri" w:hAnsi="Titillium Web" w:cs="Arial"/>
          <w:b/>
        </w:rPr>
        <w:t>VISTI</w:t>
      </w:r>
    </w:p>
    <w:p w14:paraId="38AF5283" w14:textId="77777777" w:rsidR="00B157A5" w:rsidRPr="00B157A5" w:rsidRDefault="00B157A5" w:rsidP="00B157A5">
      <w:pPr>
        <w:numPr>
          <w:ilvl w:val="0"/>
          <w:numId w:val="3"/>
        </w:numPr>
        <w:spacing w:after="0" w:line="276" w:lineRule="auto"/>
        <w:ind w:left="426"/>
        <w:contextualSpacing/>
        <w:jc w:val="both"/>
        <w:rPr>
          <w:rFonts w:ascii="Titillium Web" w:eastAsia="Titillium Web" w:hAnsi="Titillium Web" w:cs="Titillium Web"/>
        </w:rPr>
      </w:pPr>
      <w:r w:rsidRPr="00B157A5">
        <w:rPr>
          <w:rFonts w:ascii="Titillium Web" w:eastAsia="Titillium Web" w:hAnsi="Titillium Web" w:cs="Titillium Web"/>
        </w:rPr>
        <w:t>La Legge 6 novembre 2012 n. 190, articolo 1, comma 17, che contiene "Disposizioni per la prevenzione e la repressione della corruzione e dell'illegalità nella pubblica amministrazione";</w:t>
      </w:r>
    </w:p>
    <w:p w14:paraId="38FD4368" w14:textId="77777777" w:rsidR="00B157A5" w:rsidRPr="00B157A5" w:rsidRDefault="00B157A5" w:rsidP="00B157A5">
      <w:pPr>
        <w:numPr>
          <w:ilvl w:val="0"/>
          <w:numId w:val="3"/>
        </w:numPr>
        <w:spacing w:after="0" w:line="276" w:lineRule="auto"/>
        <w:ind w:left="426"/>
        <w:contextualSpacing/>
        <w:jc w:val="both"/>
        <w:rPr>
          <w:rFonts w:ascii="Titillium Web" w:eastAsia="Titillium Web" w:hAnsi="Titillium Web" w:cs="Titillium Web"/>
        </w:rPr>
      </w:pPr>
      <w:r w:rsidRPr="00B157A5">
        <w:rPr>
          <w:rFonts w:ascii="Titillium Web" w:eastAsia="Titillium Web" w:hAnsi="Titillium Web" w:cs="Titillium Web"/>
        </w:rPr>
        <w:t>Il Decreto Legislativo 25 maggio 2016, numero 97, che contiene la “Revisione e semplificazione delle disposizioni in materia di prevenzione della corruzione, pubblicità e trasparenza, correttivo della legge 6 novembre 2012, n. 190, e del decreto legislativo 14 marzo 2013, n. 33, ai sensi dell’art.7 della legge 7 agosto 2015, n. 124, in materia di riorganizzazione delle amministrazioni pubbliche”;</w:t>
      </w:r>
    </w:p>
    <w:p w14:paraId="670FC21F" w14:textId="77777777" w:rsidR="00B157A5" w:rsidRPr="00B157A5" w:rsidRDefault="00B157A5" w:rsidP="00B157A5">
      <w:pPr>
        <w:numPr>
          <w:ilvl w:val="0"/>
          <w:numId w:val="3"/>
        </w:numPr>
        <w:spacing w:after="0" w:line="276" w:lineRule="auto"/>
        <w:ind w:left="426"/>
        <w:contextualSpacing/>
        <w:jc w:val="both"/>
        <w:rPr>
          <w:rFonts w:ascii="Titillium Web" w:eastAsia="Titillium Web" w:hAnsi="Titillium Web" w:cs="Titillium Web"/>
        </w:rPr>
      </w:pPr>
      <w:r w:rsidRPr="00B157A5">
        <w:rPr>
          <w:rFonts w:ascii="Titillium Web" w:eastAsia="Titillium Web" w:hAnsi="Titillium Web" w:cs="Titillium Web"/>
        </w:rPr>
        <w:t>Decreto legislativo 31 marzo 2023, n. 36, “Codice dei contratti pubblici” in attuazione dell'articolo 1 della legge 21 giugno 2022, n. 78, recante delega al Governo in materia di contratti pubblici, pubblicato in G.U. n. 77 del 31 marzo 2023 - S.O. n. 12;</w:t>
      </w:r>
    </w:p>
    <w:p w14:paraId="62971B31" w14:textId="2368F5E6" w:rsidR="00B157A5" w:rsidRPr="00B157A5" w:rsidRDefault="00B157A5" w:rsidP="00B157A5">
      <w:pPr>
        <w:numPr>
          <w:ilvl w:val="0"/>
          <w:numId w:val="3"/>
        </w:numPr>
        <w:spacing w:after="0" w:line="276" w:lineRule="auto"/>
        <w:ind w:left="426"/>
        <w:contextualSpacing/>
        <w:jc w:val="both"/>
        <w:rPr>
          <w:rFonts w:ascii="Titillium Web" w:eastAsia="Titillium Web" w:hAnsi="Titillium Web" w:cs="Titillium Web"/>
        </w:rPr>
      </w:pPr>
      <w:r w:rsidRPr="00B157A5">
        <w:rPr>
          <w:rFonts w:ascii="Titillium Web" w:eastAsia="Titillium Web" w:hAnsi="Titillium Web" w:cs="Titillium Web"/>
        </w:rPr>
        <w:t>Il “Piano Nazionale Anticorruzione</w:t>
      </w:r>
      <w:r w:rsidR="00DE1F3E">
        <w:rPr>
          <w:rFonts w:ascii="Titillium Web" w:eastAsia="Titillium Web" w:hAnsi="Titillium Web" w:cs="Titillium Web"/>
        </w:rPr>
        <w:t xml:space="preserve"> (PNA)</w:t>
      </w:r>
      <w:r w:rsidR="00766B59">
        <w:rPr>
          <w:rFonts w:ascii="Titillium Web" w:eastAsia="Titillium Web" w:hAnsi="Titillium Web" w:cs="Titillium Web"/>
        </w:rPr>
        <w:t>”</w:t>
      </w:r>
      <w:r w:rsidRPr="00B157A5">
        <w:rPr>
          <w:rFonts w:ascii="Titillium Web" w:eastAsia="Titillium Web" w:hAnsi="Titillium Web" w:cs="Titillium Web"/>
        </w:rPr>
        <w:t xml:space="preserve">, </w:t>
      </w:r>
      <w:r w:rsidR="00766B59">
        <w:rPr>
          <w:rFonts w:ascii="Titillium Web" w:eastAsia="Titillium Web" w:hAnsi="Titillium Web" w:cs="Titillium Web"/>
        </w:rPr>
        <w:t xml:space="preserve">aggiornamento 2024 del PNA 2022, </w:t>
      </w:r>
      <w:r w:rsidRPr="00B157A5">
        <w:rPr>
          <w:rFonts w:ascii="Titillium Web" w:eastAsia="Titillium Web" w:hAnsi="Titillium Web" w:cs="Titillium Web"/>
        </w:rPr>
        <w:t xml:space="preserve">approvato dalla “Autorità Nazionale Anticorruzione” (ANAC), con Delibera del </w:t>
      </w:r>
      <w:r w:rsidR="00766B59">
        <w:rPr>
          <w:rFonts w:ascii="Titillium Web" w:eastAsia="Titillium Web" w:hAnsi="Titillium Web" w:cs="Titillium Web"/>
        </w:rPr>
        <w:t>30</w:t>
      </w:r>
      <w:r w:rsidRPr="00B157A5">
        <w:rPr>
          <w:rFonts w:ascii="Titillium Web" w:eastAsia="Titillium Web" w:hAnsi="Titillium Web" w:cs="Titillium Web"/>
        </w:rPr>
        <w:t xml:space="preserve"> gennaio 202</w:t>
      </w:r>
      <w:r w:rsidR="00766B59">
        <w:rPr>
          <w:rFonts w:ascii="Titillium Web" w:eastAsia="Titillium Web" w:hAnsi="Titillium Web" w:cs="Titillium Web"/>
        </w:rPr>
        <w:t>5</w:t>
      </w:r>
      <w:r w:rsidRPr="00B157A5">
        <w:rPr>
          <w:rFonts w:ascii="Titillium Web" w:eastAsia="Titillium Web" w:hAnsi="Titillium Web" w:cs="Titillium Web"/>
        </w:rPr>
        <w:t xml:space="preserve">, numero </w:t>
      </w:r>
      <w:r w:rsidR="00766B59">
        <w:rPr>
          <w:rFonts w:ascii="Titillium Web" w:eastAsia="Titillium Web" w:hAnsi="Titillium Web" w:cs="Titillium Web"/>
        </w:rPr>
        <w:t>31</w:t>
      </w:r>
      <w:r w:rsidRPr="00B157A5">
        <w:rPr>
          <w:rFonts w:ascii="Titillium Web" w:eastAsia="Titillium Web" w:hAnsi="Titillium Web" w:cs="Titillium Web"/>
        </w:rPr>
        <w:t>;</w:t>
      </w:r>
    </w:p>
    <w:p w14:paraId="59FB1146" w14:textId="42484E8F" w:rsidR="00B157A5" w:rsidRPr="00B157A5" w:rsidRDefault="00DE1F3E" w:rsidP="00B157A5">
      <w:pPr>
        <w:numPr>
          <w:ilvl w:val="0"/>
          <w:numId w:val="3"/>
        </w:numPr>
        <w:spacing w:after="0" w:line="276" w:lineRule="auto"/>
        <w:ind w:left="426"/>
        <w:contextualSpacing/>
        <w:jc w:val="both"/>
        <w:rPr>
          <w:rFonts w:ascii="Titillium Web" w:eastAsia="Titillium Web" w:hAnsi="Titillium Web" w:cs="Titillium Web"/>
        </w:rPr>
      </w:pPr>
      <w:r>
        <w:rPr>
          <w:rFonts w:ascii="Titillium Web" w:eastAsia="Times New Roman" w:hAnsi="Titillium Web" w:cs="Segoe UI"/>
        </w:rPr>
        <w:t xml:space="preserve">Il </w:t>
      </w:r>
      <w:r w:rsidRPr="006C3F67">
        <w:rPr>
          <w:rFonts w:ascii="Titillium Web" w:eastAsia="Times New Roman" w:hAnsi="Titillium Web" w:cs="Segoe UI"/>
        </w:rPr>
        <w:t>“</w:t>
      </w:r>
      <w:r w:rsidRPr="006C3F67">
        <w:rPr>
          <w:rFonts w:ascii="Titillium Web" w:eastAsia="Times New Roman" w:hAnsi="Titillium Web" w:cs="Segoe UI"/>
          <w:i/>
        </w:rPr>
        <w:t>Piano di Prevenzione della Corruzione e della Trasparenza 2025-2027</w:t>
      </w:r>
      <w:r w:rsidRPr="006C3F67">
        <w:rPr>
          <w:rFonts w:ascii="Titillium Web" w:eastAsia="Times New Roman" w:hAnsi="Titillium Web" w:cs="Segoe UI"/>
        </w:rPr>
        <w:t>” (“Piano”), di cui al “Piano Triennale di Prevenzione della Corruzione”, approvato dal Consiglio di Amministrazione dello Istituto Nazionale di Astrofisica con Delibera del 29 gennaio 2025, numero 2</w:t>
      </w:r>
      <w:r w:rsidR="00B157A5" w:rsidRPr="00B157A5">
        <w:rPr>
          <w:rFonts w:ascii="Titillium Web" w:eastAsia="Titillium Web" w:hAnsi="Titillium Web" w:cs="Titillium Web"/>
        </w:rPr>
        <w:t>;</w:t>
      </w:r>
    </w:p>
    <w:p w14:paraId="0FD2888B" w14:textId="77777777" w:rsidR="00B157A5" w:rsidRPr="00B157A5" w:rsidRDefault="00B157A5" w:rsidP="00B157A5">
      <w:pPr>
        <w:numPr>
          <w:ilvl w:val="0"/>
          <w:numId w:val="3"/>
        </w:numPr>
        <w:spacing w:after="0" w:line="276" w:lineRule="auto"/>
        <w:ind w:left="426"/>
        <w:contextualSpacing/>
        <w:jc w:val="both"/>
        <w:rPr>
          <w:rFonts w:ascii="Titillium Web" w:eastAsia="Titillium Web" w:hAnsi="Titillium Web" w:cs="Titillium Web"/>
        </w:rPr>
      </w:pPr>
      <w:r w:rsidRPr="00B157A5">
        <w:rPr>
          <w:rFonts w:ascii="Titillium Web" w:eastAsia="Titillium Web" w:hAnsi="Titillium Web" w:cs="Titillium Web"/>
        </w:rPr>
        <w:t>Il Decreto del Presidente della Repubblica 16 aprile 2013, numero 62, con il quale è stato emanato il "Regolamento recante il codice di comportamento dei dipendenti pubblici".</w:t>
      </w:r>
    </w:p>
    <w:p w14:paraId="1ACCF55F" w14:textId="77777777" w:rsidR="00B157A5" w:rsidRPr="00B157A5" w:rsidRDefault="00B157A5" w:rsidP="00B157A5">
      <w:pPr>
        <w:numPr>
          <w:ilvl w:val="0"/>
          <w:numId w:val="3"/>
        </w:numPr>
        <w:spacing w:after="200" w:line="276" w:lineRule="auto"/>
        <w:ind w:left="426"/>
        <w:contextualSpacing/>
        <w:jc w:val="both"/>
        <w:rPr>
          <w:rFonts w:ascii="Titillium Web" w:eastAsia="Titillium Web" w:hAnsi="Titillium Web" w:cs="Titillium Web"/>
        </w:rPr>
      </w:pPr>
      <w:r w:rsidRPr="00B157A5">
        <w:rPr>
          <w:rFonts w:ascii="Titillium Web" w:eastAsia="Titillium Web" w:hAnsi="Titillium Web" w:cs="Titillium Web"/>
        </w:rPr>
        <w:t>Il “Codice di comportamento” dello “Istituto Nazionale di Astrofisica” approvato con Delibera del Consiglio di Amministrazione del 4 novembre 2015, numero 18.</w:t>
      </w:r>
    </w:p>
    <w:p w14:paraId="43EDEBD1" w14:textId="32D6906A" w:rsidR="00B157A5" w:rsidRPr="00B157A5" w:rsidRDefault="000336FA" w:rsidP="00902813">
      <w:pPr>
        <w:spacing w:before="600" w:after="240" w:line="276" w:lineRule="auto"/>
        <w:jc w:val="center"/>
        <w:rPr>
          <w:rFonts w:ascii="Titillium Web" w:eastAsia="Calibri" w:hAnsi="Titillium Web" w:cs="Arial"/>
          <w:b/>
        </w:rPr>
      </w:pPr>
      <w:r>
        <w:rPr>
          <w:rFonts w:ascii="Titillium Web" w:eastAsia="Calibri" w:hAnsi="Titillium Web" w:cs="Arial"/>
          <w:b/>
        </w:rPr>
        <w:t>CONVENGONO</w:t>
      </w:r>
      <w:r w:rsidR="00B157A5" w:rsidRPr="00B157A5">
        <w:rPr>
          <w:rFonts w:ascii="Titillium Web" w:eastAsia="Calibri" w:hAnsi="Titillium Web" w:cs="Arial"/>
          <w:b/>
        </w:rPr>
        <w:t xml:space="preserve"> quanto segue</w:t>
      </w:r>
    </w:p>
    <w:p w14:paraId="197C9482" w14:textId="20DD4491" w:rsidR="00B157A5" w:rsidRPr="00666195" w:rsidRDefault="00666195" w:rsidP="00EC1453">
      <w:pPr>
        <w:pStyle w:val="Paragrafoelenco"/>
        <w:keepNext/>
        <w:numPr>
          <w:ilvl w:val="0"/>
          <w:numId w:val="4"/>
        </w:numPr>
        <w:spacing w:after="0" w:line="276" w:lineRule="auto"/>
        <w:ind w:left="3544" w:hanging="357"/>
        <w:jc w:val="both"/>
        <w:rPr>
          <w:rFonts w:ascii="Titillium Web" w:eastAsia="Titillium Web" w:hAnsi="Titillium Web" w:cs="Titillium Web"/>
          <w:b/>
        </w:rPr>
      </w:pPr>
      <w:r w:rsidRPr="00666195">
        <w:rPr>
          <w:rFonts w:ascii="Titillium Web" w:eastAsia="Titillium Web" w:hAnsi="Titillium Web" w:cs="Titillium Web"/>
          <w:b/>
        </w:rPr>
        <w:t>FINALITA’</w:t>
      </w:r>
    </w:p>
    <w:p w14:paraId="570D1F75" w14:textId="55420D42" w:rsidR="00666195" w:rsidRDefault="00B157A5" w:rsidP="00223F4E">
      <w:pPr>
        <w:pStyle w:val="Paragrafoelenco"/>
        <w:numPr>
          <w:ilvl w:val="0"/>
          <w:numId w:val="6"/>
        </w:numPr>
        <w:spacing w:after="120" w:line="276" w:lineRule="auto"/>
        <w:ind w:left="499" w:hanging="499"/>
        <w:jc w:val="both"/>
        <w:rPr>
          <w:rFonts w:ascii="Titillium Web" w:eastAsia="Titillium Web" w:hAnsi="Titillium Web" w:cs="Titillium Web"/>
        </w:rPr>
      </w:pPr>
      <w:r w:rsidRPr="00666195">
        <w:rPr>
          <w:rFonts w:ascii="Titillium Web" w:eastAsia="Titillium Web" w:hAnsi="Titillium Web" w:cs="Titillium Web"/>
        </w:rPr>
        <w:t xml:space="preserve">Il </w:t>
      </w:r>
      <w:r w:rsidR="000336FA" w:rsidRPr="00666195">
        <w:rPr>
          <w:rFonts w:ascii="Titillium Web" w:eastAsia="Titillium Web" w:hAnsi="Titillium Web" w:cs="Titillium Web"/>
        </w:rPr>
        <w:t xml:space="preserve">presente </w:t>
      </w:r>
      <w:r w:rsidR="00822D4B">
        <w:rPr>
          <w:rFonts w:ascii="Titillium Web" w:eastAsia="Titillium Web" w:hAnsi="Titillium Web" w:cs="Titillium Web"/>
        </w:rPr>
        <w:t>Patto di Integrità</w:t>
      </w:r>
      <w:r w:rsidR="004E1373">
        <w:rPr>
          <w:rFonts w:ascii="Titillium Web" w:eastAsia="Titillium Web" w:hAnsi="Titillium Web" w:cs="Titillium Web"/>
        </w:rPr>
        <w:t xml:space="preserve"> </w:t>
      </w:r>
      <w:r w:rsidR="000336FA" w:rsidRPr="00666195">
        <w:rPr>
          <w:rFonts w:ascii="Titillium Web" w:eastAsia="Titillium Web" w:hAnsi="Titillium Web" w:cs="Titillium Web"/>
        </w:rPr>
        <w:t xml:space="preserve">rappresenta una misura di prevenzione nei confronti di pratiche corruttive, </w:t>
      </w:r>
      <w:proofErr w:type="spellStart"/>
      <w:r w:rsidR="000336FA" w:rsidRPr="00666195">
        <w:rPr>
          <w:rFonts w:ascii="Titillium Web" w:eastAsia="Titillium Web" w:hAnsi="Titillium Web" w:cs="Titillium Web"/>
        </w:rPr>
        <w:t>concussive</w:t>
      </w:r>
      <w:proofErr w:type="spellEnd"/>
      <w:r w:rsidR="000336FA" w:rsidRPr="00666195">
        <w:rPr>
          <w:rFonts w:ascii="Titillium Web" w:eastAsia="Titillium Web" w:hAnsi="Titillium Web" w:cs="Titillium Web"/>
        </w:rPr>
        <w:t xml:space="preserve"> o comunque tendenti ad inficiare il corretto svolgimento dell’azione amministrativa nell’ambito dei pubblici appalti affidati o banditi dallo OACA.</w:t>
      </w:r>
    </w:p>
    <w:p w14:paraId="60964D40" w14:textId="77777777" w:rsidR="00666195" w:rsidRDefault="00666195" w:rsidP="00223F4E">
      <w:pPr>
        <w:pStyle w:val="Paragrafoelenco"/>
        <w:numPr>
          <w:ilvl w:val="0"/>
          <w:numId w:val="6"/>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t>Il Patto stabilisce reciproche e formali obbligazioni tra lo OACA e l’Operatore economico affidatario o partecipante alla procedura di gara, tali che le proprie azioni siano improntate al rispetto dei principi di lealtà, trasparenza e correttezza in tutte le fasi dell’affidamento o dell’appalto, dalla partecipazione alla esecuzione delle prestazioni contrattuali.</w:t>
      </w:r>
    </w:p>
    <w:p w14:paraId="6D991245" w14:textId="597660AA" w:rsidR="004E1373" w:rsidRDefault="004E1373" w:rsidP="00223F4E">
      <w:pPr>
        <w:pStyle w:val="Paragrafoelenco"/>
        <w:numPr>
          <w:ilvl w:val="0"/>
          <w:numId w:val="6"/>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lastRenderedPageBreak/>
        <w:t xml:space="preserve">Con la sottoscrizione del Patto le Parti assumono puntuale impegno anticorruzione di non offrire, accettare o richiedere somme di denaro o qualsiasi altra ricompensa, vantaggio o beneficio, al fine dell’affidamento o dell’assegnazione del contratto e/o al fine di distorcere la relativa corretta esecuzione. </w:t>
      </w:r>
    </w:p>
    <w:p w14:paraId="2FA5F64C" w14:textId="48686947" w:rsidR="004E1373" w:rsidRDefault="004E1373" w:rsidP="00223F4E">
      <w:pPr>
        <w:pStyle w:val="Paragrafoelenco"/>
        <w:numPr>
          <w:ilvl w:val="0"/>
          <w:numId w:val="6"/>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t>L’espressa sottoscrizione del Patto</w:t>
      </w:r>
      <w:r w:rsidRPr="004E1373">
        <w:rPr>
          <w:rFonts w:ascii="Titillium Web" w:eastAsia="Titillium Web" w:hAnsi="Titillium Web" w:cs="Titillium Web"/>
        </w:rPr>
        <w:t xml:space="preserve"> </w:t>
      </w:r>
      <w:r>
        <w:rPr>
          <w:rFonts w:ascii="Titillium Web" w:eastAsia="Titillium Web" w:hAnsi="Titillium Web" w:cs="Titillium Web"/>
        </w:rPr>
        <w:t xml:space="preserve">da parte del legale rappresentante dell’Operatore economico, </w:t>
      </w:r>
      <w:r w:rsidR="00B157A5" w:rsidRPr="00666195">
        <w:rPr>
          <w:rFonts w:ascii="Titillium Web" w:eastAsia="Titillium Web" w:hAnsi="Titillium Web" w:cs="Titillium Web"/>
        </w:rPr>
        <w:t xml:space="preserve">presentato </w:t>
      </w:r>
      <w:r>
        <w:rPr>
          <w:rFonts w:ascii="Titillium Web" w:eastAsia="Titillium Web" w:hAnsi="Titillium Web" w:cs="Titillium Web"/>
        </w:rPr>
        <w:t>come parte integrante de</w:t>
      </w:r>
      <w:r w:rsidR="00B157A5" w:rsidRPr="00666195">
        <w:rPr>
          <w:rFonts w:ascii="Titillium Web" w:eastAsia="Titillium Web" w:hAnsi="Titillium Web" w:cs="Titillium Web"/>
        </w:rPr>
        <w:t>lla documentaz</w:t>
      </w:r>
      <w:r>
        <w:rPr>
          <w:rFonts w:ascii="Titillium Web" w:eastAsia="Titillium Web" w:hAnsi="Titillium Web" w:cs="Titillium Web"/>
        </w:rPr>
        <w:t>ione richiesta a corredo della O</w:t>
      </w:r>
      <w:r w:rsidR="00B157A5" w:rsidRPr="00666195">
        <w:rPr>
          <w:rFonts w:ascii="Titillium Web" w:eastAsia="Titillium Web" w:hAnsi="Titillium Web" w:cs="Titillium Web"/>
        </w:rPr>
        <w:t>fferta</w:t>
      </w:r>
      <w:r>
        <w:rPr>
          <w:rFonts w:ascii="Titillium Web" w:eastAsia="Titillium Web" w:hAnsi="Titillium Web" w:cs="Titillium Web"/>
        </w:rPr>
        <w:t>, costituisce condizione di ammissione a tutte le procedure di affidamento o di gara indette dallo OACA</w:t>
      </w:r>
      <w:r w:rsidR="00B157A5" w:rsidRPr="00666195">
        <w:rPr>
          <w:rFonts w:ascii="Titillium Web" w:eastAsia="Titillium Web" w:hAnsi="Titillium Web" w:cs="Titillium Web"/>
        </w:rPr>
        <w:t>. L’assenza di questo documento, debitamente sottoscritto, com</w:t>
      </w:r>
      <w:r>
        <w:rPr>
          <w:rFonts w:ascii="Titillium Web" w:eastAsia="Titillium Web" w:hAnsi="Titillium Web" w:cs="Titillium Web"/>
        </w:rPr>
        <w:t>porterà l'esclusione dalla gara o dall’affidamento.</w:t>
      </w:r>
    </w:p>
    <w:p w14:paraId="5E51CBC9" w14:textId="12004530" w:rsidR="00B157A5" w:rsidRDefault="004E1373" w:rsidP="00223F4E">
      <w:pPr>
        <w:pStyle w:val="Paragrafoelenco"/>
        <w:numPr>
          <w:ilvl w:val="0"/>
          <w:numId w:val="6"/>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t xml:space="preserve">Il Patto, sottoscritto per accettazione, </w:t>
      </w:r>
      <w:r w:rsidR="000336FA" w:rsidRPr="004E1373">
        <w:rPr>
          <w:rFonts w:ascii="Titillium Web" w:eastAsia="Titillium Web" w:hAnsi="Titillium Web" w:cs="Titillium Web"/>
        </w:rPr>
        <w:t xml:space="preserve">costituirà parte integrante </w:t>
      </w:r>
      <w:r w:rsidR="00377725">
        <w:rPr>
          <w:rFonts w:ascii="Titillium Web" w:eastAsia="Titillium Web" w:hAnsi="Titillium Web" w:cs="Titillium Web"/>
        </w:rPr>
        <w:t xml:space="preserve">e sostanziale </w:t>
      </w:r>
      <w:r w:rsidR="000336FA" w:rsidRPr="004E1373">
        <w:rPr>
          <w:rFonts w:ascii="Titillium Web" w:eastAsia="Titillium Web" w:hAnsi="Titillium Web" w:cs="Titillium Web"/>
        </w:rPr>
        <w:t>di qualsias</w:t>
      </w:r>
      <w:r>
        <w:rPr>
          <w:rFonts w:ascii="Titillium Web" w:eastAsia="Titillium Web" w:hAnsi="Titillium Web" w:cs="Titillium Web"/>
        </w:rPr>
        <w:t>i contratto stipulato con lo OACA</w:t>
      </w:r>
      <w:r w:rsidR="00377725">
        <w:rPr>
          <w:rFonts w:ascii="Titillium Web" w:eastAsia="Titillium Web" w:hAnsi="Titillium Web" w:cs="Titillium Web"/>
        </w:rPr>
        <w:t>.</w:t>
      </w:r>
      <w:r w:rsidR="00377725">
        <w:rPr>
          <w:rFonts w:ascii="Titillium Web" w:eastAsia="Titillium Web" w:hAnsi="Titillium Web" w:cs="Titillium Web"/>
        </w:rPr>
        <w:tab/>
      </w:r>
      <w:r w:rsidR="00377725">
        <w:rPr>
          <w:rFonts w:ascii="Titillium Web" w:eastAsia="Titillium Web" w:hAnsi="Titillium Web" w:cs="Titillium Web"/>
        </w:rPr>
        <w:br/>
        <w:t>Nel caso di Consorzi o RTI, il Patto va sottoscritto dal legale rappresentante del Consorzio e da tutte le Imprese consorziate o raggruppate, e dall’eventuale Direttore Tecnico.</w:t>
      </w:r>
      <w:r w:rsidR="00377725">
        <w:rPr>
          <w:rFonts w:ascii="Titillium Web" w:eastAsia="Titillium Web" w:hAnsi="Titillium Web" w:cs="Titillium Web"/>
        </w:rPr>
        <w:tab/>
      </w:r>
      <w:r w:rsidR="00377725">
        <w:rPr>
          <w:rFonts w:ascii="Titillium Web" w:eastAsia="Titillium Web" w:hAnsi="Titillium Web" w:cs="Titillium Web"/>
        </w:rPr>
        <w:br/>
        <w:t>Qualora si faccia ricorso all’avvalimento, il Patto va sottoscritto anche dal legale rappresentante dell’Impresa ausiliaria e dall’eventuale Direttore Tecnico.</w:t>
      </w:r>
      <w:r w:rsidR="00377725">
        <w:rPr>
          <w:rFonts w:ascii="Titillium Web" w:eastAsia="Titillium Web" w:hAnsi="Titillium Web" w:cs="Titillium Web"/>
        </w:rPr>
        <w:tab/>
      </w:r>
      <w:r w:rsidR="00377725">
        <w:rPr>
          <w:rFonts w:ascii="Titillium Web" w:eastAsia="Titillium Web" w:hAnsi="Titillium Web" w:cs="Titillium Web"/>
        </w:rPr>
        <w:br/>
        <w:t>Qualora si faccia ricorso al subappalto, il Patto va sottoscritto anche dal legale rappresentante del Soggetto affidatario del contratto di subappalto e dall’eventuale Direttore Tecnico.</w:t>
      </w:r>
    </w:p>
    <w:p w14:paraId="2F6B019A" w14:textId="7C78F380" w:rsidR="00377725" w:rsidRPr="004E1373" w:rsidRDefault="00377725" w:rsidP="00223F4E">
      <w:pPr>
        <w:pStyle w:val="Paragrafoelenco"/>
        <w:numPr>
          <w:ilvl w:val="0"/>
          <w:numId w:val="6"/>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t>La carenza della dichiarazione di accettazione del Patto o l’omessa produzione dello stesso debitamente sottoscritto dall’affidatario o dal concorrente, è regolarizzabile attraverso l’istituto del soccorso istruttorio, di cui all’articolo 101 del d.lgs. 36/2023. L’Operatore economico che non ottemperi a quanto richiesto con suddetta procedura di soccorso istruttorio sarà escluso dalla procedura di affidamento o di gara.</w:t>
      </w:r>
    </w:p>
    <w:p w14:paraId="0303D2B0" w14:textId="5A69A3FB" w:rsidR="00B157A5" w:rsidRPr="00B157A5" w:rsidRDefault="00902813" w:rsidP="00EC1453">
      <w:pPr>
        <w:pStyle w:val="Paragrafoelenco"/>
        <w:keepNext/>
        <w:numPr>
          <w:ilvl w:val="0"/>
          <w:numId w:val="4"/>
        </w:numPr>
        <w:spacing w:before="360" w:after="0" w:line="276" w:lineRule="auto"/>
        <w:ind w:left="3544" w:hanging="357"/>
        <w:contextualSpacing w:val="0"/>
        <w:jc w:val="both"/>
        <w:rPr>
          <w:rFonts w:ascii="Titillium Web" w:eastAsia="Titillium Web" w:hAnsi="Titillium Web" w:cs="Titillium Web"/>
          <w:b/>
        </w:rPr>
      </w:pPr>
      <w:r>
        <w:rPr>
          <w:rFonts w:ascii="Titillium Web" w:eastAsia="Titillium Web" w:hAnsi="Titillium Web" w:cs="Titillium Web"/>
          <w:b/>
        </w:rPr>
        <w:t>AMBITO DI APPLICAZIONE</w:t>
      </w:r>
    </w:p>
    <w:p w14:paraId="0A791A4A" w14:textId="77777777" w:rsidR="00902813" w:rsidRDefault="00902813" w:rsidP="00223F4E">
      <w:pPr>
        <w:pStyle w:val="Paragrafoelenco"/>
        <w:numPr>
          <w:ilvl w:val="0"/>
          <w:numId w:val="8"/>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t xml:space="preserve">Il </w:t>
      </w:r>
      <w:r w:rsidR="00B157A5" w:rsidRPr="00B157A5">
        <w:rPr>
          <w:rFonts w:ascii="Titillium Web" w:eastAsia="Titillium Web" w:hAnsi="Titillium Web" w:cs="Titillium Web"/>
        </w:rPr>
        <w:t>Patto</w:t>
      </w:r>
      <w:r>
        <w:rPr>
          <w:rFonts w:ascii="Titillium Web" w:eastAsia="Titillium Web" w:hAnsi="Titillium Web" w:cs="Titillium Web"/>
        </w:rPr>
        <w:t xml:space="preserve"> si applica a tutte le procedure di affidamento o di gara, sia sopra che sotto la soglia di rilevanza europea, come definita dall’articolo 14 del Codice.</w:t>
      </w:r>
    </w:p>
    <w:p w14:paraId="4D990856" w14:textId="77777777" w:rsidR="00902813" w:rsidRDefault="00902813" w:rsidP="00223F4E">
      <w:pPr>
        <w:pStyle w:val="Paragrafoelenco"/>
        <w:numPr>
          <w:ilvl w:val="0"/>
          <w:numId w:val="8"/>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t>Il Patto regola i comportamenti degli Operatori economici sia durante la fase di affidamento delle procedure di gara indette dallo OACA, sia nella fase di esecuzione del contratto per quell’Operatore economico al quale in contratto conseguente è stato affidato</w:t>
      </w:r>
      <w:r w:rsidR="00B157A5" w:rsidRPr="00B157A5">
        <w:rPr>
          <w:rFonts w:ascii="Titillium Web" w:eastAsia="Titillium Web" w:hAnsi="Titillium Web" w:cs="Titillium Web"/>
        </w:rPr>
        <w:t>.</w:t>
      </w:r>
    </w:p>
    <w:p w14:paraId="022F4007" w14:textId="77777777" w:rsidR="00EC1453" w:rsidRDefault="00902813" w:rsidP="00223F4E">
      <w:pPr>
        <w:pStyle w:val="Paragrafoelenco"/>
        <w:numPr>
          <w:ilvl w:val="0"/>
          <w:numId w:val="8"/>
        </w:numPr>
        <w:spacing w:after="120" w:line="276" w:lineRule="auto"/>
        <w:ind w:left="499" w:hanging="499"/>
        <w:jc w:val="both"/>
        <w:rPr>
          <w:rFonts w:ascii="Titillium Web" w:eastAsia="Titillium Web" w:hAnsi="Titillium Web" w:cs="Titillium Web"/>
        </w:rPr>
      </w:pPr>
      <w:r>
        <w:rPr>
          <w:rFonts w:ascii="Titillium Web" w:eastAsia="Titillium Web" w:hAnsi="Titillium Web" w:cs="Titillium Web"/>
        </w:rPr>
        <w:t xml:space="preserve">Il Patto regola inoltre i comportamenti di tutti i Dipendenti dello OACA che sono chiamati ad operare nell’ambito </w:t>
      </w:r>
      <w:r w:rsidR="00EC1453">
        <w:rPr>
          <w:rFonts w:ascii="Titillium Web" w:eastAsia="Titillium Web" w:hAnsi="Titillium Web" w:cs="Titillium Web"/>
        </w:rPr>
        <w:t>della procedura di affidamento /</w:t>
      </w:r>
      <w:r>
        <w:rPr>
          <w:rFonts w:ascii="Titillium Web" w:eastAsia="Titillium Web" w:hAnsi="Titillium Web" w:cs="Titillium Web"/>
        </w:rPr>
        <w:t xml:space="preserve"> di gara</w:t>
      </w:r>
      <w:r w:rsidR="00EC1453">
        <w:rPr>
          <w:rFonts w:ascii="Titillium Web" w:eastAsia="Titillium Web" w:hAnsi="Titillium Web" w:cs="Titillium Web"/>
        </w:rPr>
        <w:t>, oltre che nella fase di esecuzione delle prestazioni oggetto del contratto.</w:t>
      </w:r>
    </w:p>
    <w:p w14:paraId="44B6564C" w14:textId="24ACAF61" w:rsidR="00B157A5" w:rsidRPr="00B157A5" w:rsidRDefault="00EC1453" w:rsidP="00223F4E">
      <w:pPr>
        <w:pStyle w:val="Paragrafoelenco"/>
        <w:numPr>
          <w:ilvl w:val="0"/>
          <w:numId w:val="8"/>
        </w:numPr>
        <w:spacing w:after="120" w:line="276" w:lineRule="auto"/>
        <w:ind w:left="499" w:hanging="499"/>
        <w:contextualSpacing w:val="0"/>
        <w:jc w:val="both"/>
        <w:rPr>
          <w:rFonts w:ascii="Titillium Web" w:eastAsia="Titillium Web" w:hAnsi="Titillium Web" w:cs="Titillium Web"/>
        </w:rPr>
      </w:pPr>
      <w:r>
        <w:rPr>
          <w:rFonts w:ascii="Titillium Web" w:eastAsia="Titillium Web" w:hAnsi="Titillium Web" w:cs="Titillium Web"/>
        </w:rPr>
        <w:t>Le Parti sono a conoscenza del contenuto del presente Patto, che condividono in toto, nonché delle sanzioni previste a loro carico in caso di mancato rispetto delle regole che il Patto definisce.</w:t>
      </w:r>
      <w:r w:rsidR="00B157A5" w:rsidRPr="00B157A5">
        <w:rPr>
          <w:rFonts w:ascii="Titillium Web" w:eastAsia="Titillium Web" w:hAnsi="Titillium Web" w:cs="Titillium Web"/>
        </w:rPr>
        <w:t xml:space="preserve"> </w:t>
      </w:r>
    </w:p>
    <w:p w14:paraId="22196978" w14:textId="6ABCB76B" w:rsidR="00B157A5" w:rsidRPr="00B157A5" w:rsidRDefault="00EC1453" w:rsidP="00EC1453">
      <w:pPr>
        <w:pStyle w:val="Paragrafoelenco"/>
        <w:keepNext/>
        <w:numPr>
          <w:ilvl w:val="0"/>
          <w:numId w:val="4"/>
        </w:numPr>
        <w:spacing w:before="240" w:after="0" w:line="276" w:lineRule="auto"/>
        <w:ind w:left="3544" w:hanging="357"/>
        <w:contextualSpacing w:val="0"/>
        <w:jc w:val="both"/>
        <w:rPr>
          <w:rFonts w:ascii="Titillium Web" w:eastAsia="Titillium Web" w:hAnsi="Titillium Web" w:cs="Titillium Web"/>
          <w:b/>
        </w:rPr>
      </w:pPr>
      <w:r>
        <w:rPr>
          <w:rFonts w:ascii="Titillium Web" w:eastAsia="Titillium Web" w:hAnsi="Titillium Web" w:cs="Titillium Web"/>
          <w:b/>
        </w:rPr>
        <w:lastRenderedPageBreak/>
        <w:t>OBBLIGHI DELL’OPERATORE ECONOMICO</w:t>
      </w:r>
    </w:p>
    <w:p w14:paraId="5B2DC5CB" w14:textId="77777777" w:rsidR="00E13392" w:rsidRDefault="00E13392" w:rsidP="00223F4E">
      <w:pPr>
        <w:pStyle w:val="Paragrafoelenco"/>
        <w:numPr>
          <w:ilvl w:val="0"/>
          <w:numId w:val="13"/>
        </w:numPr>
        <w:spacing w:after="120" w:line="276" w:lineRule="auto"/>
        <w:ind w:left="499" w:hanging="499"/>
        <w:contextualSpacing w:val="0"/>
        <w:jc w:val="both"/>
        <w:rPr>
          <w:rFonts w:ascii="Titillium Web" w:eastAsia="Titillium Web" w:hAnsi="Titillium Web" w:cs="Titillium Web"/>
        </w:rPr>
      </w:pPr>
      <w:r>
        <w:rPr>
          <w:rFonts w:ascii="Titillium Web" w:eastAsia="Titillium Web" w:hAnsi="Titillium Web" w:cs="Titillium Web"/>
        </w:rPr>
        <w:t>Con la sottoscrizione e cogente accettazione del</w:t>
      </w:r>
      <w:r w:rsidR="00EC1453">
        <w:rPr>
          <w:rFonts w:ascii="Titillium Web" w:eastAsia="Titillium Web" w:hAnsi="Titillium Web" w:cs="Titillium Web"/>
        </w:rPr>
        <w:t xml:space="preserve"> </w:t>
      </w:r>
      <w:r w:rsidR="00EC1453" w:rsidRPr="00B157A5">
        <w:rPr>
          <w:rFonts w:ascii="Titillium Web" w:eastAsia="Titillium Web" w:hAnsi="Titillium Web" w:cs="Titillium Web"/>
        </w:rPr>
        <w:t>Patto</w:t>
      </w:r>
      <w:r>
        <w:rPr>
          <w:rFonts w:ascii="Titillium Web" w:eastAsia="Titillium Web" w:hAnsi="Titillium Web" w:cs="Titillium Web"/>
        </w:rPr>
        <w:t>, l’Operatore economico si impegna:</w:t>
      </w:r>
    </w:p>
    <w:p w14:paraId="1C05FD8E" w14:textId="60D5D6EF" w:rsidR="00EC1453" w:rsidRDefault="00223F4E" w:rsidP="00822D4B">
      <w:pPr>
        <w:pStyle w:val="Paragrafoelenco"/>
        <w:numPr>
          <w:ilvl w:val="1"/>
          <w:numId w:val="13"/>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a</w:t>
      </w:r>
      <w:r w:rsidR="00DE312A">
        <w:rPr>
          <w:rFonts w:ascii="Titillium Web" w:eastAsia="Titillium Web" w:hAnsi="Titillium Web" w:cs="Titillium Web"/>
        </w:rPr>
        <w:t xml:space="preserve"> uniformare la propria condotta ai principi di lealtà, trasparenza e correttezza;</w:t>
      </w:r>
    </w:p>
    <w:p w14:paraId="58186504" w14:textId="494E8CC3" w:rsidR="00DE312A" w:rsidRDefault="00223F4E" w:rsidP="00822D4B">
      <w:pPr>
        <w:pStyle w:val="Paragrafoelenco"/>
        <w:numPr>
          <w:ilvl w:val="1"/>
          <w:numId w:val="13"/>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a</w:t>
      </w:r>
      <w:r w:rsidR="00DE312A">
        <w:rPr>
          <w:rFonts w:ascii="Titillium Web" w:eastAsia="Titillium Web" w:hAnsi="Titillium Web" w:cs="Titillium Web"/>
        </w:rPr>
        <w:t xml:space="preserve"> non corrispondere né promettere di corrispondere ad alcuno, direttamente o tramite terzi, includendo tra questi anche i Soggetti collegati e/o controllati, somme di denaro, vantaggi o altre utilità finalizzate a facilitare l’affidamento o l’aggiudicazione e/o la fase di erogazione delle prestazioni contrattuali.</w:t>
      </w:r>
    </w:p>
    <w:p w14:paraId="3BE2B255" w14:textId="3762C38C" w:rsidR="00DE312A" w:rsidRDefault="00223F4E" w:rsidP="00822D4B">
      <w:pPr>
        <w:pStyle w:val="Paragrafoelenco"/>
        <w:numPr>
          <w:ilvl w:val="1"/>
          <w:numId w:val="13"/>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a</w:t>
      </w:r>
      <w:r w:rsidR="00DE312A">
        <w:rPr>
          <w:rFonts w:ascii="Titillium Web" w:eastAsia="Titillium Web" w:hAnsi="Titillium Web" w:cs="Titillium Web"/>
        </w:rPr>
        <w:t xml:space="preserve"> segnalare allo OACA qualsiasi tentativo di turbativa, irregolarità o distorsione nelle fasi di svolgimento del procedimento di gara e/o della esecuzione del contratto, da parte di ogni interessato e/o addetto e/o di chiunque possa influenzare le decisioni relative all’affidamento o alla gara in oggetto. Comprese illecite richieste o pretese da parti di Dipendenti dello OACA;</w:t>
      </w:r>
    </w:p>
    <w:p w14:paraId="009A226A" w14:textId="607CD769" w:rsidR="00DE312A" w:rsidRDefault="00223F4E" w:rsidP="00822D4B">
      <w:pPr>
        <w:pStyle w:val="Paragrafoelenco"/>
        <w:numPr>
          <w:ilvl w:val="1"/>
          <w:numId w:val="13"/>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a</w:t>
      </w:r>
      <w:r w:rsidR="00DE312A">
        <w:rPr>
          <w:rFonts w:ascii="Titillium Web" w:eastAsia="Titillium Web" w:hAnsi="Titillium Web" w:cs="Titillium Web"/>
        </w:rPr>
        <w:t xml:space="preserve"> non accordarsi con altri partecipanti alla procedura di gara per limitare con mezzi illeciti la libera concorrenza;</w:t>
      </w:r>
    </w:p>
    <w:p w14:paraId="4288E7F4" w14:textId="0CF3315D" w:rsidR="00DE312A" w:rsidRDefault="00223F4E" w:rsidP="00822D4B">
      <w:pPr>
        <w:pStyle w:val="Paragrafoelenco"/>
        <w:numPr>
          <w:ilvl w:val="1"/>
          <w:numId w:val="13"/>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a</w:t>
      </w:r>
      <w:r w:rsidR="00DE312A">
        <w:rPr>
          <w:rFonts w:ascii="Titillium Web" w:eastAsia="Titillium Web" w:hAnsi="Titillium Web" w:cs="Titillium Web"/>
        </w:rPr>
        <w:t>d informare puntualmente tutto il personale di cui l’Operatore economico si avvale del contenuto del presente Patto, inclusi gli obblighi ivi contenuti e vigilare sul rispetto degli stessi;</w:t>
      </w:r>
    </w:p>
    <w:p w14:paraId="690070CF" w14:textId="2C9331D5" w:rsidR="00DE312A" w:rsidRDefault="00223F4E" w:rsidP="00822D4B">
      <w:pPr>
        <w:pStyle w:val="Paragrafoelenco"/>
        <w:numPr>
          <w:ilvl w:val="1"/>
          <w:numId w:val="13"/>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a</w:t>
      </w:r>
      <w:r w:rsidR="00DE312A">
        <w:rPr>
          <w:rFonts w:ascii="Titillium Web" w:eastAsia="Titillium Web" w:hAnsi="Titillium Web" w:cs="Titillium Web"/>
        </w:rPr>
        <w:t xml:space="preserve"> segnalare situazioni di conflitto di interesse di cui sia o venga a conoscenza, rispetto al personale dello OACA;</w:t>
      </w:r>
    </w:p>
    <w:p w14:paraId="61858C3A" w14:textId="7438A0D5" w:rsidR="00DE312A" w:rsidRDefault="00223F4E" w:rsidP="00DE312A">
      <w:pPr>
        <w:pStyle w:val="Paragrafoelenco"/>
        <w:numPr>
          <w:ilvl w:val="1"/>
          <w:numId w:val="13"/>
        </w:numPr>
        <w:spacing w:after="12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a</w:t>
      </w:r>
      <w:r w:rsidR="00DE312A" w:rsidRPr="00223F4E">
        <w:rPr>
          <w:rFonts w:ascii="Titillium Web" w:eastAsia="Titillium Web" w:hAnsi="Titillium Web" w:cs="Titillium Web"/>
        </w:rPr>
        <w:t xml:space="preserve"> non conferire incarichi o stipulare contratti con i soggetti </w:t>
      </w:r>
      <w:r w:rsidR="00EF5F3C" w:rsidRPr="00223F4E">
        <w:rPr>
          <w:rFonts w:ascii="Titillium Web" w:eastAsia="Titillium Web" w:hAnsi="Titillium Web" w:cs="Titillium Web"/>
        </w:rPr>
        <w:t xml:space="preserve">di cui all’articolo 53, comma 16-ter, del d.lgs. 165/2001. Diversamente, </w:t>
      </w:r>
      <w:r>
        <w:rPr>
          <w:rFonts w:ascii="Titillium Web" w:eastAsia="Titillium Web" w:hAnsi="Titillium Web" w:cs="Titillium Web"/>
        </w:rPr>
        <w:t>lo OACA potrà disporre l’immediata esclusione dell’Operatore economico dalla partecipazione alla procedura di gara o dall’affidamento del contratto.</w:t>
      </w:r>
    </w:p>
    <w:p w14:paraId="48B5C1F9" w14:textId="636CD526" w:rsidR="00223F4E" w:rsidRDefault="00223F4E" w:rsidP="00223F4E">
      <w:pPr>
        <w:pStyle w:val="Paragrafoelenco"/>
        <w:numPr>
          <w:ilvl w:val="0"/>
          <w:numId w:val="13"/>
        </w:numPr>
        <w:spacing w:after="120" w:line="276" w:lineRule="auto"/>
        <w:ind w:left="499" w:hanging="499"/>
        <w:contextualSpacing w:val="0"/>
        <w:jc w:val="both"/>
        <w:rPr>
          <w:rFonts w:ascii="Titillium Web" w:eastAsia="Titillium Web" w:hAnsi="Titillium Web" w:cs="Titillium Web"/>
        </w:rPr>
      </w:pPr>
      <w:r>
        <w:rPr>
          <w:rFonts w:ascii="Titillium Web" w:eastAsia="Titillium Web" w:hAnsi="Titillium Web" w:cs="Titillium Web"/>
        </w:rPr>
        <w:t>Gli obblighi di cui al punto precedente si intendono puntualmente riferiti, per la fase di esecuzione delle prestazioni contrattuali, all’Operatore economico con il quale lo OACA ha stipulato il contratto medesimo. L’Operatore economico ha l’onere di vigilare affinché detti obblighi siano rispettati da subappaltatori e subcontraenti, avendo cura che la clausola di rispetto del Patto venga inserita nei contratti stipulati dall’Operatore economico con le Imprese subappaltatrici e/o subcontraenti.:</w:t>
      </w:r>
    </w:p>
    <w:p w14:paraId="6567A246" w14:textId="7CD9140A" w:rsidR="00B157A5" w:rsidRPr="00B157A5" w:rsidRDefault="00EC1453" w:rsidP="00EC1453">
      <w:pPr>
        <w:pStyle w:val="Paragrafoelenco"/>
        <w:keepNext/>
        <w:numPr>
          <w:ilvl w:val="0"/>
          <w:numId w:val="4"/>
        </w:numPr>
        <w:spacing w:before="360" w:after="0" w:line="276" w:lineRule="auto"/>
        <w:ind w:left="3544" w:hanging="357"/>
        <w:contextualSpacing w:val="0"/>
        <w:jc w:val="both"/>
        <w:rPr>
          <w:rFonts w:ascii="Titillium Web" w:eastAsia="Titillium Web" w:hAnsi="Titillium Web" w:cs="Titillium Web"/>
          <w:b/>
        </w:rPr>
      </w:pPr>
      <w:r>
        <w:rPr>
          <w:rFonts w:ascii="Titillium Web" w:eastAsia="Titillium Web" w:hAnsi="Titillium Web" w:cs="Titillium Web"/>
          <w:b/>
        </w:rPr>
        <w:t>SANZIONI</w:t>
      </w:r>
    </w:p>
    <w:p w14:paraId="53C93F34" w14:textId="34CDE368" w:rsidR="00B157A5" w:rsidRDefault="009E7FDC" w:rsidP="00822D4B">
      <w:pPr>
        <w:pStyle w:val="Paragrafoelenco"/>
        <w:numPr>
          <w:ilvl w:val="0"/>
          <w:numId w:val="14"/>
        </w:numPr>
        <w:spacing w:after="0" w:line="276" w:lineRule="auto"/>
        <w:ind w:left="499" w:hanging="499"/>
        <w:contextualSpacing w:val="0"/>
        <w:jc w:val="both"/>
        <w:rPr>
          <w:rFonts w:ascii="Titillium Web" w:eastAsia="Titillium Web" w:hAnsi="Titillium Web" w:cs="Titillium Web"/>
        </w:rPr>
      </w:pPr>
      <w:r>
        <w:rPr>
          <w:rFonts w:ascii="Titillium Web" w:eastAsia="Titillium Web" w:hAnsi="Titillium Web" w:cs="Titillium Web"/>
        </w:rPr>
        <w:t>L’accertamento del mancato rispetto da parte dell’O</w:t>
      </w:r>
      <w:r w:rsidR="00B157A5" w:rsidRPr="00B157A5">
        <w:rPr>
          <w:rFonts w:ascii="Titillium Web" w:eastAsia="Titillium Web" w:hAnsi="Titillium Web" w:cs="Titillium Web"/>
        </w:rPr>
        <w:t xml:space="preserve">peratore economico </w:t>
      </w:r>
      <w:r>
        <w:rPr>
          <w:rFonts w:ascii="Titillium Web" w:eastAsia="Titillium Web" w:hAnsi="Titillium Web" w:cs="Titillium Web"/>
        </w:rPr>
        <w:t>anche di uno solo degli obblighi di cui all’Articolo 3 del presente Patto, potrà comportare l’applicazione di una o più delle seguenti sanzioni, anche in forma cumulativa:</w:t>
      </w:r>
    </w:p>
    <w:p w14:paraId="5999DB28" w14:textId="0F824385" w:rsidR="009E7FDC" w:rsidRDefault="009E7FDC" w:rsidP="00822D4B">
      <w:pPr>
        <w:pStyle w:val="Paragrafoelenco"/>
        <w:numPr>
          <w:ilvl w:val="1"/>
          <w:numId w:val="14"/>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lastRenderedPageBreak/>
        <w:t>esclusione dalla procedura di gara o di affidamento, ovvero revoca dell’affidamento, a seconda che la violazione venga accertata nella fase precedente o successiva all’aggiudicazione; con escussione, se prevista, della cauzione provvisoria.</w:t>
      </w:r>
    </w:p>
    <w:p w14:paraId="23926C8E" w14:textId="566A605E" w:rsidR="009E7FDC" w:rsidRDefault="009E7FDC" w:rsidP="00822D4B">
      <w:pPr>
        <w:pStyle w:val="Paragrafoelenco"/>
        <w:numPr>
          <w:ilvl w:val="1"/>
          <w:numId w:val="14"/>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revoca dell’aggiudicazione ed escussione della cauzione provvisoria se la violazione è accertata nella fase successiva all’aggiudicazione e precedente la sottoscrizione del contratto.</w:t>
      </w:r>
    </w:p>
    <w:p w14:paraId="49FFECFC" w14:textId="1E89F03C" w:rsidR="009E7FDC" w:rsidRPr="00B157A5" w:rsidRDefault="009E7FDC" w:rsidP="00822D4B">
      <w:pPr>
        <w:pStyle w:val="Paragrafoelenco"/>
        <w:numPr>
          <w:ilvl w:val="1"/>
          <w:numId w:val="14"/>
        </w:numPr>
        <w:spacing w:after="0" w:line="276" w:lineRule="auto"/>
        <w:ind w:left="993"/>
        <w:contextualSpacing w:val="0"/>
        <w:jc w:val="both"/>
        <w:rPr>
          <w:rFonts w:ascii="Titillium Web" w:eastAsia="Titillium Web" w:hAnsi="Titillium Web" w:cs="Titillium Web"/>
        </w:rPr>
      </w:pPr>
      <w:r>
        <w:rPr>
          <w:rFonts w:ascii="Titillium Web" w:eastAsia="Titillium Web" w:hAnsi="Titillium Web" w:cs="Titillium Web"/>
        </w:rPr>
        <w:t xml:space="preserve">Risoluzione del contratto ed escussione della cauzione definitiva, se prevista, qualora la violazione venga accertata nella fase di </w:t>
      </w:r>
      <w:r w:rsidR="004F2E08">
        <w:rPr>
          <w:rFonts w:ascii="Titillium Web" w:eastAsia="Titillium Web" w:hAnsi="Titillium Web" w:cs="Titillium Web"/>
        </w:rPr>
        <w:t>erogazione delle prestazioni contrattuali. In tal senso, l’Operatore economico accetta sin d’ora la possibilità che lo OACA proceda all’applicazione della clausola risolutiva espressa ai sensi dell’art. 1456 del codice civile, ove emerga il mancato rispetto del presente Patto da parte dell’Operatore economico medesimo. Sono fatti salvi l’eventuale diritto al risarcimento del danno e l’applicazione di eventuali penali.</w:t>
      </w:r>
    </w:p>
    <w:p w14:paraId="6A8A9DAE" w14:textId="40515316" w:rsidR="00B157A5" w:rsidRPr="00B157A5" w:rsidRDefault="004F2E08" w:rsidP="00EC1453">
      <w:pPr>
        <w:pStyle w:val="Paragrafoelenco"/>
        <w:keepNext/>
        <w:numPr>
          <w:ilvl w:val="0"/>
          <w:numId w:val="4"/>
        </w:numPr>
        <w:spacing w:before="360" w:after="0" w:line="276" w:lineRule="auto"/>
        <w:ind w:left="3544" w:hanging="357"/>
        <w:contextualSpacing w:val="0"/>
        <w:jc w:val="both"/>
        <w:rPr>
          <w:rFonts w:ascii="Titillium Web" w:eastAsia="Titillium Web" w:hAnsi="Titillium Web" w:cs="Titillium Web"/>
          <w:b/>
        </w:rPr>
      </w:pPr>
      <w:r>
        <w:rPr>
          <w:rFonts w:ascii="Titillium Web" w:eastAsia="Titillium Web" w:hAnsi="Titillium Web" w:cs="Titillium Web"/>
          <w:b/>
        </w:rPr>
        <w:t>OBBLIGHI DELLA STAZIONE APPALTANTE</w:t>
      </w:r>
    </w:p>
    <w:p w14:paraId="62D01CB6" w14:textId="43DD88DB" w:rsidR="00B157A5" w:rsidRDefault="004F2E08" w:rsidP="004F2E08">
      <w:pPr>
        <w:pStyle w:val="Paragrafoelenco"/>
        <w:numPr>
          <w:ilvl w:val="0"/>
          <w:numId w:val="15"/>
        </w:numPr>
        <w:spacing w:after="120" w:line="276" w:lineRule="auto"/>
        <w:ind w:left="499" w:hanging="499"/>
        <w:contextualSpacing w:val="0"/>
        <w:jc w:val="both"/>
        <w:rPr>
          <w:rFonts w:ascii="Titillium Web" w:eastAsia="Titillium Web" w:hAnsi="Titillium Web" w:cs="Titillium Web"/>
        </w:rPr>
      </w:pPr>
      <w:r>
        <w:rPr>
          <w:rFonts w:ascii="Titillium Web" w:eastAsia="Titillium Web" w:hAnsi="Titillium Web" w:cs="Titillium Web"/>
        </w:rPr>
        <w:t>Lo OACA si obbliga a rispettare i principi di lealtà, trasparenza e correttezza, nonché ad attivare procedimenti disciplinari nei confronti dei propri dipendenti che, qualora siano intervenuti a vario titolo nelle fasi di affidamento e/o di esecuzione del contratto, abbiano violati tali principi</w:t>
      </w:r>
      <w:r w:rsidR="00B157A5" w:rsidRPr="00B157A5">
        <w:rPr>
          <w:rFonts w:ascii="Titillium Web" w:eastAsia="Titillium Web" w:hAnsi="Titillium Web" w:cs="Titillium Web"/>
        </w:rPr>
        <w:t>.</w:t>
      </w:r>
    </w:p>
    <w:p w14:paraId="24D80F47" w14:textId="0AF63061" w:rsidR="004F2E08" w:rsidRPr="00B157A5" w:rsidRDefault="004F2E08" w:rsidP="004F2E08">
      <w:pPr>
        <w:pStyle w:val="Paragrafoelenco"/>
        <w:numPr>
          <w:ilvl w:val="0"/>
          <w:numId w:val="15"/>
        </w:numPr>
        <w:spacing w:after="120" w:line="276" w:lineRule="auto"/>
        <w:ind w:left="499" w:hanging="499"/>
        <w:contextualSpacing w:val="0"/>
        <w:jc w:val="both"/>
        <w:rPr>
          <w:rFonts w:ascii="Titillium Web" w:eastAsia="Titillium Web" w:hAnsi="Titillium Web" w:cs="Titillium Web"/>
        </w:rPr>
      </w:pPr>
      <w:r>
        <w:rPr>
          <w:rFonts w:ascii="Titillium Web" w:eastAsia="Titillium Web" w:hAnsi="Titillium Web" w:cs="Titillium Web"/>
        </w:rPr>
        <w:t xml:space="preserve">Qualora lo OACA venga a conoscenza di condotte anomale </w:t>
      </w:r>
      <w:r w:rsidR="00BA0C3E">
        <w:rPr>
          <w:rFonts w:ascii="Titillium Web" w:eastAsia="Titillium Web" w:hAnsi="Titillium Web" w:cs="Titillium Web"/>
        </w:rPr>
        <w:t>poste in essere dai propri Dipendenti in relazione ad una o più delle fasi di espletamento della procedura, aprirà un procedimento istruttorio per la verifica di suddette azioni.</w:t>
      </w:r>
    </w:p>
    <w:p w14:paraId="0E64C5AB" w14:textId="4B86097D" w:rsidR="00B157A5" w:rsidRPr="00B157A5" w:rsidRDefault="00BA0C3E" w:rsidP="00BA0C3E">
      <w:pPr>
        <w:pStyle w:val="Paragrafoelenco"/>
        <w:keepNext/>
        <w:numPr>
          <w:ilvl w:val="0"/>
          <w:numId w:val="4"/>
        </w:numPr>
        <w:spacing w:before="360" w:after="0" w:line="276" w:lineRule="auto"/>
        <w:ind w:left="3544" w:hanging="357"/>
        <w:contextualSpacing w:val="0"/>
        <w:jc w:val="both"/>
        <w:rPr>
          <w:rFonts w:ascii="Titillium Web" w:eastAsia="Titillium Web" w:hAnsi="Titillium Web" w:cs="Titillium Web"/>
          <w:b/>
        </w:rPr>
      </w:pPr>
      <w:r>
        <w:rPr>
          <w:rFonts w:ascii="Titillium Web" w:eastAsia="Titillium Web" w:hAnsi="Titillium Web" w:cs="Titillium Web"/>
          <w:b/>
        </w:rPr>
        <w:t>EFFICACIA DEL PATTO D’INTEGRITA’</w:t>
      </w:r>
    </w:p>
    <w:p w14:paraId="4AFFDA7B" w14:textId="5AF62399" w:rsidR="00B157A5" w:rsidRPr="00B157A5" w:rsidRDefault="00B157A5" w:rsidP="00B157A5">
      <w:pPr>
        <w:spacing w:after="120" w:line="276" w:lineRule="auto"/>
        <w:jc w:val="both"/>
        <w:rPr>
          <w:rFonts w:ascii="Titillium Web" w:eastAsia="Calibri" w:hAnsi="Titillium Web" w:cs="Arial"/>
        </w:rPr>
      </w:pPr>
      <w:r w:rsidRPr="00B157A5">
        <w:rPr>
          <w:rFonts w:ascii="Titillium Web" w:eastAsia="Calibri" w:hAnsi="Titillium Web" w:cs="Times New Roman"/>
        </w:rPr>
        <w:t xml:space="preserve">Il presente Patto di integrità e le </w:t>
      </w:r>
      <w:r w:rsidR="00BA0C3E">
        <w:rPr>
          <w:rFonts w:ascii="Titillium Web" w:eastAsia="Calibri" w:hAnsi="Titillium Web" w:cs="Times New Roman"/>
        </w:rPr>
        <w:t xml:space="preserve">relative </w:t>
      </w:r>
      <w:r w:rsidRPr="00B157A5">
        <w:rPr>
          <w:rFonts w:ascii="Titillium Web" w:eastAsia="Calibri" w:hAnsi="Titillium Web" w:cs="Times New Roman"/>
        </w:rPr>
        <w:t xml:space="preserve">sanzioni </w:t>
      </w:r>
      <w:r w:rsidR="00BA0C3E">
        <w:rPr>
          <w:rFonts w:ascii="Titillium Web" w:eastAsia="Calibri" w:hAnsi="Titillium Web" w:cs="Times New Roman"/>
        </w:rPr>
        <w:t>si applicano dall’inizio della procedura di gara o di affidamento fino alla completa esecuzione del contratto stipulato</w:t>
      </w:r>
      <w:r w:rsidRPr="00B157A5">
        <w:rPr>
          <w:rFonts w:ascii="Titillium Web" w:eastAsia="Calibri" w:hAnsi="Titillium Web" w:cs="Times New Roman"/>
        </w:rPr>
        <w:t>.</w:t>
      </w:r>
    </w:p>
    <w:p w14:paraId="546D84B6" w14:textId="50D041C1" w:rsidR="00B157A5" w:rsidRPr="00B157A5" w:rsidRDefault="00BA0C3E" w:rsidP="00BA0C3E">
      <w:pPr>
        <w:pStyle w:val="Paragrafoelenco"/>
        <w:keepNext/>
        <w:numPr>
          <w:ilvl w:val="0"/>
          <w:numId w:val="4"/>
        </w:numPr>
        <w:spacing w:before="360" w:after="0" w:line="276" w:lineRule="auto"/>
        <w:ind w:left="3544" w:hanging="357"/>
        <w:contextualSpacing w:val="0"/>
        <w:jc w:val="both"/>
        <w:rPr>
          <w:rFonts w:ascii="Titillium Web" w:eastAsia="Titillium Web" w:hAnsi="Titillium Web" w:cs="Titillium Web"/>
          <w:b/>
        </w:rPr>
      </w:pPr>
      <w:r>
        <w:rPr>
          <w:rFonts w:ascii="Titillium Web" w:eastAsia="Titillium Web" w:hAnsi="Titillium Web" w:cs="Titillium Web"/>
          <w:b/>
        </w:rPr>
        <w:t>FORO COMPETENTE</w:t>
      </w:r>
    </w:p>
    <w:p w14:paraId="088926C4" w14:textId="352D791C" w:rsidR="00B157A5" w:rsidRPr="00B157A5" w:rsidRDefault="00BA0C3E" w:rsidP="00B157A5">
      <w:pPr>
        <w:spacing w:after="120" w:line="276" w:lineRule="auto"/>
        <w:jc w:val="both"/>
        <w:rPr>
          <w:rFonts w:ascii="Titillium Web" w:eastAsia="Titillium Web" w:hAnsi="Titillium Web" w:cs="Titillium Web"/>
        </w:rPr>
      </w:pPr>
      <w:r>
        <w:rPr>
          <w:rFonts w:ascii="Titillium Web" w:eastAsia="Titillium Web" w:hAnsi="Titillium Web" w:cs="Titillium Web"/>
        </w:rPr>
        <w:t>Ogni controversia relativa all’interpretazione ed esecuzione del presente Patto tra lo OACA e l’Operatore economico, ovvero tra gli stessi Operatori economici, sarà risolta dall’Autorità Giudiziaria competente per il territorio di Cagliari</w:t>
      </w:r>
      <w:r w:rsidR="00B157A5" w:rsidRPr="00B157A5">
        <w:rPr>
          <w:rFonts w:ascii="Titillium Web" w:eastAsia="Titillium Web" w:hAnsi="Titillium Web" w:cs="Titillium Web"/>
        </w:rPr>
        <w:t>.</w:t>
      </w:r>
    </w:p>
    <w:p w14:paraId="30B4F457" w14:textId="62DEF99E" w:rsidR="00B157A5" w:rsidRDefault="00BA0C3E" w:rsidP="00B157A5">
      <w:pPr>
        <w:spacing w:before="120" w:after="120" w:line="360" w:lineRule="auto"/>
        <w:jc w:val="both"/>
        <w:rPr>
          <w:rFonts w:ascii="Titillium Web" w:eastAsia="Calibri" w:hAnsi="Titillium Web" w:cs="Times New Roman"/>
        </w:rPr>
      </w:pPr>
      <w:r>
        <w:rPr>
          <w:rFonts w:ascii="Titillium Web" w:eastAsia="Calibri" w:hAnsi="Titillium Web" w:cs="Times New Roman"/>
        </w:rPr>
        <w:t>Per l’Operatore economico</w:t>
      </w:r>
      <w:r>
        <w:rPr>
          <w:rFonts w:ascii="Titillium Web" w:eastAsia="Calibri" w:hAnsi="Titillium Web" w:cs="Times New Roman"/>
        </w:rPr>
        <w:tab/>
      </w:r>
      <w:r>
        <w:rPr>
          <w:rFonts w:ascii="Titillium Web" w:eastAsia="Calibri" w:hAnsi="Titillium Web" w:cs="Times New Roman"/>
        </w:rPr>
        <w:tab/>
      </w:r>
      <w:r>
        <w:rPr>
          <w:rFonts w:ascii="Titillium Web" w:eastAsia="Calibri" w:hAnsi="Titillium Web" w:cs="Times New Roman"/>
        </w:rPr>
        <w:tab/>
      </w:r>
      <w:r>
        <w:rPr>
          <w:rFonts w:ascii="Titillium Web" w:eastAsia="Calibri" w:hAnsi="Titillium Web" w:cs="Times New Roman"/>
        </w:rPr>
        <w:tab/>
        <w:t>Per lo INAF – Osservatorio Astronomico di Cagliari</w:t>
      </w:r>
    </w:p>
    <w:p w14:paraId="1F1B0AA0" w14:textId="70974B3D" w:rsidR="00BA0C3E" w:rsidRDefault="00BA0C3E" w:rsidP="00B157A5">
      <w:pPr>
        <w:spacing w:before="120" w:after="120" w:line="360" w:lineRule="auto"/>
        <w:jc w:val="both"/>
        <w:rPr>
          <w:rFonts w:ascii="Titillium Web" w:eastAsia="Calibri" w:hAnsi="Titillium Web" w:cs="Times New Roman"/>
        </w:rPr>
      </w:pPr>
      <w:r>
        <w:rPr>
          <w:rFonts w:ascii="Titillium Web" w:eastAsia="Calibri" w:hAnsi="Titillium Web" w:cs="Times New Roman"/>
        </w:rPr>
        <w:t>Il Legale Rappresentante</w:t>
      </w:r>
      <w:r>
        <w:rPr>
          <w:rFonts w:ascii="Titillium Web" w:eastAsia="Calibri" w:hAnsi="Titillium Web" w:cs="Times New Roman"/>
        </w:rPr>
        <w:tab/>
      </w:r>
      <w:r>
        <w:rPr>
          <w:rFonts w:ascii="Titillium Web" w:eastAsia="Calibri" w:hAnsi="Titillium Web" w:cs="Times New Roman"/>
        </w:rPr>
        <w:tab/>
      </w:r>
      <w:r>
        <w:rPr>
          <w:rFonts w:ascii="Titillium Web" w:eastAsia="Calibri" w:hAnsi="Titillium Web" w:cs="Times New Roman"/>
        </w:rPr>
        <w:tab/>
      </w:r>
      <w:r>
        <w:rPr>
          <w:rFonts w:ascii="Titillium Web" w:eastAsia="Calibri" w:hAnsi="Titillium Web" w:cs="Times New Roman"/>
        </w:rPr>
        <w:tab/>
        <w:t>il Direttore</w:t>
      </w:r>
    </w:p>
    <w:p w14:paraId="772E4730" w14:textId="77777777" w:rsidR="00BA0C3E" w:rsidRPr="00B157A5" w:rsidRDefault="00BA0C3E" w:rsidP="00B157A5">
      <w:pPr>
        <w:spacing w:before="120" w:after="120" w:line="360" w:lineRule="auto"/>
        <w:jc w:val="both"/>
        <w:rPr>
          <w:rFonts w:ascii="Titillium Web" w:eastAsia="Times New Roman" w:hAnsi="Titillium Web" w:cs="Times New Roman"/>
          <w:sz w:val="24"/>
          <w:szCs w:val="24"/>
          <w:lang w:eastAsia="it-IT"/>
        </w:rPr>
      </w:pPr>
    </w:p>
    <w:p w14:paraId="608FAC0C" w14:textId="21AAC2E5" w:rsidR="006D4094" w:rsidRPr="00624FB2" w:rsidRDefault="006D4094" w:rsidP="00DD5515">
      <w:pPr>
        <w:rPr>
          <w:rFonts w:ascii="Segoe UI" w:hAnsi="Segoe UI" w:cs="Segoe UI"/>
        </w:rPr>
      </w:pPr>
    </w:p>
    <w:sectPr w:rsidR="006D4094" w:rsidRPr="00624FB2" w:rsidSect="00822D4B">
      <w:headerReference w:type="default" r:id="rId7"/>
      <w:footerReference w:type="default" r:id="rId8"/>
      <w:pgSz w:w="11906" w:h="16838"/>
      <w:pgMar w:top="2127" w:right="1134" w:bottom="1560" w:left="1134" w:header="708" w:footer="2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BD269" w14:textId="77777777" w:rsidR="00CE6682" w:rsidRDefault="00CE6682" w:rsidP="00EA5F18">
      <w:pPr>
        <w:spacing w:after="0" w:line="240" w:lineRule="auto"/>
      </w:pPr>
      <w:r>
        <w:separator/>
      </w:r>
    </w:p>
  </w:endnote>
  <w:endnote w:type="continuationSeparator" w:id="0">
    <w:p w14:paraId="6C05EC52" w14:textId="77777777" w:rsidR="00CE6682" w:rsidRDefault="00CE6682" w:rsidP="00EA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tillium Web">
    <w:panose1 w:val="000005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rostile Extended">
    <w:panose1 w:val="00000000000000000000"/>
    <w:charset w:val="00"/>
    <w:family w:val="auto"/>
    <w:pitch w:val="variable"/>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Hlk57295158"/>
  <w:p w14:paraId="2DBD7261" w14:textId="0DC08925" w:rsidR="008928BD" w:rsidRPr="008928BD" w:rsidRDefault="008928BD" w:rsidP="008928BD">
    <w:pPr>
      <w:pStyle w:val="Pidipagina"/>
      <w:jc w:val="center"/>
      <w:rPr>
        <w:rFonts w:ascii="Eurostile" w:hAnsi="Eurostile"/>
        <w:b/>
        <w:sz w:val="16"/>
      </w:rPr>
    </w:pPr>
    <w:r w:rsidRPr="008928BD">
      <w:rPr>
        <w:rFonts w:ascii="Eurostile" w:hAnsi="Eurostile"/>
        <w:noProof/>
        <w:sz w:val="16"/>
        <w:lang w:eastAsia="it-IT"/>
      </w:rPr>
      <mc:AlternateContent>
        <mc:Choice Requires="wps">
          <w:drawing>
            <wp:anchor distT="0" distB="0" distL="114300" distR="114300" simplePos="0" relativeHeight="251659264" behindDoc="0" locked="0" layoutInCell="1" allowOverlap="1" wp14:anchorId="06598B22" wp14:editId="343B4968">
              <wp:simplePos x="0" y="0"/>
              <wp:positionH relativeFrom="margin">
                <wp:posOffset>-12700</wp:posOffset>
              </wp:positionH>
              <wp:positionV relativeFrom="paragraph">
                <wp:posOffset>-121589</wp:posOffset>
              </wp:positionV>
              <wp:extent cx="6000750" cy="7156"/>
              <wp:effectExtent l="0" t="0" r="19050" b="31115"/>
              <wp:wrapNone/>
              <wp:docPr id="2" name="Connettore diritto 2"/>
              <wp:cNvGraphicFramePr/>
              <a:graphic xmlns:a="http://schemas.openxmlformats.org/drawingml/2006/main">
                <a:graphicData uri="http://schemas.microsoft.com/office/word/2010/wordprocessingShape">
                  <wps:wsp>
                    <wps:cNvCnPr/>
                    <wps:spPr>
                      <a:xfrm>
                        <a:off x="0" y="0"/>
                        <a:ext cx="6000750" cy="7156"/>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048C7CF" id="Connettore dirit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9.55pt" to="471.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" strokecolor="#4472c4 [3204]" strokeweight="1pt">
              <v:stroke joinstyle="miter"/>
              <w10:wrap anchorx="margin"/>
            </v:line>
          </w:pict>
        </mc:Fallback>
      </mc:AlternateContent>
    </w:r>
    <w:r w:rsidRPr="008928BD">
      <w:rPr>
        <w:rFonts w:ascii="Eurostile" w:hAnsi="Eurostile"/>
        <w:b/>
        <w:sz w:val="16"/>
      </w:rPr>
      <w:t xml:space="preserve">INAF – </w:t>
    </w:r>
    <w:r w:rsidR="00F65A9E">
      <w:rPr>
        <w:rFonts w:ascii="Eurostile" w:hAnsi="Eurostile"/>
        <w:b/>
        <w:sz w:val="16"/>
      </w:rPr>
      <w:t>OSSERVATORIO ASTRONOMICO DI CAGLIARI</w:t>
    </w:r>
  </w:p>
  <w:p w14:paraId="2C60EBEF" w14:textId="66165045" w:rsidR="006D4094" w:rsidRDefault="00B157A5" w:rsidP="008928BD">
    <w:pPr>
      <w:pStyle w:val="Pidipagina"/>
      <w:jc w:val="center"/>
      <w:rPr>
        <w:rFonts w:ascii="Eurostile" w:hAnsi="Eurostile"/>
        <w:sz w:val="16"/>
      </w:rPr>
    </w:pPr>
    <w:r>
      <w:rPr>
        <w:rFonts w:ascii="Eurostile" w:hAnsi="Eurostile"/>
        <w:sz w:val="16"/>
      </w:rPr>
      <w:t>Via della Scienza, 5</w:t>
    </w:r>
    <w:r w:rsidR="006D4094" w:rsidRPr="006D4094">
      <w:rPr>
        <w:rFonts w:ascii="Eurostile" w:hAnsi="Eurostile"/>
        <w:sz w:val="16"/>
      </w:rPr>
      <w:t xml:space="preserve"> - 09047 Selargius (CA), Italia </w:t>
    </w:r>
  </w:p>
  <w:p w14:paraId="57BD3F89" w14:textId="49907E7B" w:rsidR="008928BD" w:rsidRPr="001F73AF" w:rsidRDefault="008928BD" w:rsidP="008928BD">
    <w:pPr>
      <w:pStyle w:val="Pidipagina"/>
      <w:jc w:val="center"/>
      <w:rPr>
        <w:rFonts w:ascii="Eurostile" w:hAnsi="Eurostile"/>
        <w:sz w:val="16"/>
        <w:lang w:val="en-GB"/>
      </w:rPr>
    </w:pPr>
    <w:r w:rsidRPr="001F73AF">
      <w:rPr>
        <w:rFonts w:ascii="Eurostile" w:hAnsi="Eurostile"/>
        <w:sz w:val="16"/>
        <w:lang w:val="en-GB"/>
      </w:rPr>
      <w:t xml:space="preserve">Tel.: (+39) </w:t>
    </w:r>
    <w:r w:rsidR="006D4094" w:rsidRPr="001F73AF">
      <w:rPr>
        <w:rFonts w:ascii="Eurostile" w:hAnsi="Eurostile"/>
        <w:sz w:val="16"/>
        <w:lang w:val="en-GB"/>
      </w:rPr>
      <w:t>070.711801</w:t>
    </w:r>
    <w:r w:rsidRPr="001F73AF">
      <w:rPr>
        <w:rFonts w:ascii="Eurostile" w:hAnsi="Eurostile"/>
        <w:sz w:val="16"/>
        <w:lang w:val="en-GB"/>
      </w:rPr>
      <w:t xml:space="preserve"> - Email: </w:t>
    </w:r>
    <w:r w:rsidR="006D4094" w:rsidRPr="001F73AF">
      <w:rPr>
        <w:rFonts w:ascii="Eurostile" w:hAnsi="Eurostile"/>
        <w:sz w:val="16"/>
        <w:lang w:val="en-GB"/>
      </w:rPr>
      <w:t>info.oaca</w:t>
    </w:r>
    <w:r w:rsidRPr="001F73AF">
      <w:rPr>
        <w:rFonts w:ascii="Eurostile" w:hAnsi="Eurostile"/>
        <w:sz w:val="16"/>
        <w:lang w:val="en-GB"/>
      </w:rPr>
      <w:t>@inaf.it – PEC: inaf</w:t>
    </w:r>
    <w:r w:rsidR="006D4094" w:rsidRPr="001F73AF">
      <w:rPr>
        <w:rFonts w:ascii="Eurostile" w:hAnsi="Eurostile"/>
        <w:sz w:val="16"/>
        <w:lang w:val="en-GB"/>
      </w:rPr>
      <w:t>oacagliari</w:t>
    </w:r>
    <w:r w:rsidRPr="001F73AF">
      <w:rPr>
        <w:rFonts w:ascii="Eurostile" w:hAnsi="Eurostile"/>
        <w:sz w:val="16"/>
        <w:lang w:val="en-GB"/>
      </w:rPr>
      <w:t xml:space="preserve">@pcert.postecert.it </w:t>
    </w:r>
  </w:p>
  <w:p w14:paraId="123B41D7" w14:textId="658C55AC" w:rsidR="008928BD" w:rsidRPr="001F73AF" w:rsidRDefault="008928BD" w:rsidP="008928BD">
    <w:pPr>
      <w:pStyle w:val="Pidipagina"/>
      <w:jc w:val="center"/>
      <w:rPr>
        <w:rFonts w:ascii="Eurostile" w:hAnsi="Eurostile"/>
        <w:sz w:val="24"/>
        <w:lang w:val="en-GB"/>
      </w:rPr>
    </w:pPr>
    <w:r w:rsidRPr="001F73AF">
      <w:rPr>
        <w:rFonts w:ascii="Eurostile" w:hAnsi="Eurostile"/>
        <w:sz w:val="16"/>
        <w:lang w:val="en-GB"/>
      </w:rPr>
      <w:t>C.F. 97220210583 – P.IVA 06895721006 – www.</w:t>
    </w:r>
    <w:r w:rsidR="006D4094" w:rsidRPr="001F73AF">
      <w:rPr>
        <w:rFonts w:ascii="Eurostile" w:hAnsi="Eurostile"/>
        <w:sz w:val="16"/>
        <w:lang w:val="en-GB"/>
      </w:rPr>
      <w:t>oa-cagliari.</w:t>
    </w:r>
    <w:r w:rsidRPr="001F73AF">
      <w:rPr>
        <w:rFonts w:ascii="Eurostile" w:hAnsi="Eurostile"/>
        <w:sz w:val="16"/>
        <w:lang w:val="en-GB"/>
      </w:rPr>
      <w:t>inaf.it</w:t>
    </w:r>
  </w:p>
  <w:bookmarkEnd w:id="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830ED" w14:textId="77777777" w:rsidR="00CE6682" w:rsidRDefault="00CE6682" w:rsidP="00EA5F18">
      <w:pPr>
        <w:spacing w:after="0" w:line="240" w:lineRule="auto"/>
      </w:pPr>
      <w:r>
        <w:separator/>
      </w:r>
    </w:p>
  </w:footnote>
  <w:footnote w:type="continuationSeparator" w:id="0">
    <w:p w14:paraId="446F23EA" w14:textId="77777777" w:rsidR="00CE6682" w:rsidRDefault="00CE6682" w:rsidP="00EA5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56626" w14:textId="30EC9095" w:rsidR="00EA5F18" w:rsidRDefault="00A87853">
    <w:pPr>
      <w:pStyle w:val="Intestazione"/>
    </w:pPr>
    <w:r>
      <w:rPr>
        <w:noProof/>
        <w:lang w:eastAsia="it-IT"/>
      </w:rPr>
      <mc:AlternateContent>
        <mc:Choice Requires="wps">
          <w:drawing>
            <wp:anchor distT="0" distB="0" distL="114300" distR="114300" simplePos="0" relativeHeight="251661312" behindDoc="0" locked="0" layoutInCell="1" allowOverlap="1" wp14:anchorId="14EC2EA4" wp14:editId="36971132">
              <wp:simplePos x="0" y="0"/>
              <wp:positionH relativeFrom="column">
                <wp:posOffset>2847340</wp:posOffset>
              </wp:positionH>
              <wp:positionV relativeFrom="paragraph">
                <wp:posOffset>412115</wp:posOffset>
              </wp:positionV>
              <wp:extent cx="3202940" cy="22479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3202940" cy="224790"/>
                      </a:xfrm>
                      <a:prstGeom prst="rect">
                        <a:avLst/>
                      </a:prstGeom>
                      <a:solidFill>
                        <a:schemeClr val="lt1"/>
                      </a:solidFill>
                      <a:ln w="6350">
                        <a:noFill/>
                      </a:ln>
                    </wps:spPr>
                    <wps:txbx>
                      <w:txbxContent>
                        <w:p w14:paraId="785143BA" w14:textId="23A999A3" w:rsidR="00170F92" w:rsidRPr="00BF746F" w:rsidRDefault="00170F92" w:rsidP="00720D3E">
                          <w:pPr>
                            <w:jc w:val="right"/>
                            <w:rPr>
                              <w:rFonts w:ascii="Eurostile Extended" w:hAnsi="Eurostile Extended"/>
                              <w:color w:val="0070C0"/>
                              <w:sz w:val="15"/>
                              <w:szCs w:val="15"/>
                            </w:rPr>
                          </w:pPr>
                          <w:r w:rsidRPr="00BF746F">
                            <w:rPr>
                              <w:rFonts w:ascii="Eurostile Extended" w:hAnsi="Eurostile Extended"/>
                              <w:color w:val="0070C0"/>
                              <w:sz w:val="15"/>
                              <w:szCs w:val="15"/>
                            </w:rPr>
                            <w:t xml:space="preserve"> O</w:t>
                          </w:r>
                          <w:r w:rsidR="00F65A9E" w:rsidRPr="00BF746F">
                            <w:rPr>
                              <w:rFonts w:ascii="Eurostile Extended" w:hAnsi="Eurostile Extended"/>
                              <w:color w:val="0070C0"/>
                              <w:sz w:val="15"/>
                              <w:szCs w:val="15"/>
                            </w:rPr>
                            <w:t>SSERVATORIO</w:t>
                          </w:r>
                          <w:r w:rsidRPr="00BF746F">
                            <w:rPr>
                              <w:rFonts w:ascii="Eurostile Extended" w:hAnsi="Eurostile Extended"/>
                              <w:color w:val="0070C0"/>
                              <w:sz w:val="15"/>
                              <w:szCs w:val="15"/>
                            </w:rPr>
                            <w:t xml:space="preserve"> A</w:t>
                          </w:r>
                          <w:r w:rsidR="00F65A9E" w:rsidRPr="00BF746F">
                            <w:rPr>
                              <w:rFonts w:ascii="Eurostile Extended" w:hAnsi="Eurostile Extended"/>
                              <w:color w:val="0070C0"/>
                              <w:sz w:val="15"/>
                              <w:szCs w:val="15"/>
                            </w:rPr>
                            <w:t>STRONOMICO</w:t>
                          </w:r>
                          <w:r w:rsidRPr="00BF746F">
                            <w:rPr>
                              <w:rFonts w:ascii="Eurostile Extended" w:hAnsi="Eurostile Extended"/>
                              <w:color w:val="0070C0"/>
                              <w:sz w:val="15"/>
                              <w:szCs w:val="15"/>
                            </w:rPr>
                            <w:t xml:space="preserve"> </w:t>
                          </w:r>
                          <w:r w:rsidR="00F65A9E" w:rsidRPr="00BF746F">
                            <w:rPr>
                              <w:rFonts w:ascii="Eurostile Extended" w:hAnsi="Eurostile Extended"/>
                              <w:color w:val="0070C0"/>
                              <w:sz w:val="15"/>
                              <w:szCs w:val="15"/>
                            </w:rPr>
                            <w:t>DI</w:t>
                          </w:r>
                          <w:r w:rsidRPr="00BF746F">
                            <w:rPr>
                              <w:rFonts w:ascii="Eurostile Extended" w:hAnsi="Eurostile Extended"/>
                              <w:color w:val="0070C0"/>
                              <w:sz w:val="15"/>
                              <w:szCs w:val="15"/>
                            </w:rPr>
                            <w:t xml:space="preserve"> C</w:t>
                          </w:r>
                          <w:r w:rsidR="00F65A9E" w:rsidRPr="00BF746F">
                            <w:rPr>
                              <w:rFonts w:ascii="Eurostile Extended" w:hAnsi="Eurostile Extended"/>
                              <w:color w:val="0070C0"/>
                              <w:sz w:val="15"/>
                              <w:szCs w:val="15"/>
                            </w:rPr>
                            <w:t>AGLIARI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C2EA4" id="_x0000_t202" coordsize="21600,21600" o:spt="202" path="m,l,21600r21600,l21600,xe">
              <v:stroke joinstyle="miter"/>
              <v:path gradientshapeok="t" o:connecttype="rect"/>
            </v:shapetype>
            <v:shape id="Text Box 3" o:spid="_x0000_s1026" type="#_x0000_t202" style="position:absolute;margin-left:224.2pt;margin-top:32.45pt;width:252.2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" fillcolor="white [3201]" stroked="f" strokeweight=".5pt">
              <v:textbox>
                <w:txbxContent>
                  <w:p w14:paraId="785143BA" w14:textId="23A999A3" w:rsidR="00170F92" w:rsidRPr="00BF746F" w:rsidRDefault="00170F92" w:rsidP="00720D3E">
                    <w:pPr>
                      <w:jc w:val="right"/>
                      <w:rPr>
                        <w:rFonts w:ascii="Eurostile Extended" w:hAnsi="Eurostile Extended"/>
                        <w:color w:val="0070C0"/>
                        <w:sz w:val="15"/>
                        <w:szCs w:val="15"/>
                      </w:rPr>
                    </w:pPr>
                    <w:r w:rsidRPr="00BF746F">
                      <w:rPr>
                        <w:rFonts w:ascii="Eurostile Extended" w:hAnsi="Eurostile Extended"/>
                        <w:color w:val="0070C0"/>
                        <w:sz w:val="15"/>
                        <w:szCs w:val="15"/>
                      </w:rPr>
                      <w:t xml:space="preserve"> O</w:t>
                    </w:r>
                    <w:r w:rsidR="00F65A9E" w:rsidRPr="00BF746F">
                      <w:rPr>
                        <w:rFonts w:ascii="Eurostile Extended" w:hAnsi="Eurostile Extended"/>
                        <w:color w:val="0070C0"/>
                        <w:sz w:val="15"/>
                        <w:szCs w:val="15"/>
                      </w:rPr>
                      <w:t>SSERVATORIO</w:t>
                    </w:r>
                    <w:r w:rsidRPr="00BF746F">
                      <w:rPr>
                        <w:rFonts w:ascii="Eurostile Extended" w:hAnsi="Eurostile Extended"/>
                        <w:color w:val="0070C0"/>
                        <w:sz w:val="15"/>
                        <w:szCs w:val="15"/>
                      </w:rPr>
                      <w:t xml:space="preserve"> A</w:t>
                    </w:r>
                    <w:r w:rsidR="00F65A9E" w:rsidRPr="00BF746F">
                      <w:rPr>
                        <w:rFonts w:ascii="Eurostile Extended" w:hAnsi="Eurostile Extended"/>
                        <w:color w:val="0070C0"/>
                        <w:sz w:val="15"/>
                        <w:szCs w:val="15"/>
                      </w:rPr>
                      <w:t>STRONOMICO</w:t>
                    </w:r>
                    <w:r w:rsidRPr="00BF746F">
                      <w:rPr>
                        <w:rFonts w:ascii="Eurostile Extended" w:hAnsi="Eurostile Extended"/>
                        <w:color w:val="0070C0"/>
                        <w:sz w:val="15"/>
                        <w:szCs w:val="15"/>
                      </w:rPr>
                      <w:t xml:space="preserve"> </w:t>
                    </w:r>
                    <w:r w:rsidR="00F65A9E" w:rsidRPr="00BF746F">
                      <w:rPr>
                        <w:rFonts w:ascii="Eurostile Extended" w:hAnsi="Eurostile Extended"/>
                        <w:color w:val="0070C0"/>
                        <w:sz w:val="15"/>
                        <w:szCs w:val="15"/>
                      </w:rPr>
                      <w:t>DI</w:t>
                    </w:r>
                    <w:r w:rsidRPr="00BF746F">
                      <w:rPr>
                        <w:rFonts w:ascii="Eurostile Extended" w:hAnsi="Eurostile Extended"/>
                        <w:color w:val="0070C0"/>
                        <w:sz w:val="15"/>
                        <w:szCs w:val="15"/>
                      </w:rPr>
                      <w:t xml:space="preserve"> C</w:t>
                    </w:r>
                    <w:r w:rsidR="00F65A9E" w:rsidRPr="00BF746F">
                      <w:rPr>
                        <w:rFonts w:ascii="Eurostile Extended" w:hAnsi="Eurostile Extended"/>
                        <w:color w:val="0070C0"/>
                        <w:sz w:val="15"/>
                        <w:szCs w:val="15"/>
                      </w:rPr>
                      <w:t>AGLIARI</w:t>
                    </w:r>
                  </w:p>
                </w:txbxContent>
              </v:textbox>
            </v:shape>
          </w:pict>
        </mc:Fallback>
      </mc:AlternateContent>
    </w:r>
    <w:r>
      <w:rPr>
        <w:noProof/>
        <w:lang w:eastAsia="it-IT"/>
      </w:rPr>
      <w:drawing>
        <wp:anchor distT="0" distB="0" distL="114300" distR="114300" simplePos="0" relativeHeight="251660288" behindDoc="0" locked="0" layoutInCell="1" allowOverlap="1" wp14:anchorId="14651EFB" wp14:editId="4AB111ED">
          <wp:simplePos x="0" y="0"/>
          <wp:positionH relativeFrom="column">
            <wp:posOffset>4834255</wp:posOffset>
          </wp:positionH>
          <wp:positionV relativeFrom="paragraph">
            <wp:posOffset>-51435</wp:posOffset>
          </wp:positionV>
          <wp:extent cx="1152525" cy="434340"/>
          <wp:effectExtent l="0" t="0" r="9525" b="3810"/>
          <wp:wrapNone/>
          <wp:docPr id="1" name="Picture 1" descr="A picture containing wheel,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heel, clip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525" cy="434340"/>
                  </a:xfrm>
                  <a:prstGeom prst="rect">
                    <a:avLst/>
                  </a:prstGeom>
                </pic:spPr>
              </pic:pic>
            </a:graphicData>
          </a:graphic>
          <wp14:sizeRelH relativeFrom="page">
            <wp14:pctWidth>0</wp14:pctWidth>
          </wp14:sizeRelH>
          <wp14:sizeRelV relativeFrom="page">
            <wp14:pctHeight>0</wp14:pctHeight>
          </wp14:sizeRelV>
        </wp:anchor>
      </w:drawing>
    </w:r>
    <w:r w:rsidRPr="00C53D78">
      <w:rPr>
        <w:noProof/>
        <w:lang w:eastAsia="it-IT"/>
      </w:rPr>
      <w:drawing>
        <wp:anchor distT="0" distB="0" distL="114300" distR="114300" simplePos="0" relativeHeight="251662336" behindDoc="1" locked="0" layoutInCell="1" allowOverlap="1" wp14:anchorId="2B586A99" wp14:editId="7819903B">
          <wp:simplePos x="0" y="0"/>
          <wp:positionH relativeFrom="column">
            <wp:posOffset>-3810</wp:posOffset>
          </wp:positionH>
          <wp:positionV relativeFrom="paragraph">
            <wp:posOffset>-327660</wp:posOffset>
          </wp:positionV>
          <wp:extent cx="2447925" cy="1171575"/>
          <wp:effectExtent l="0" t="0" r="9525" b="9525"/>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7925" cy="11715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31348"/>
    <w:multiLevelType w:val="hybridMultilevel"/>
    <w:tmpl w:val="ACC4606E"/>
    <w:lvl w:ilvl="0" w:tplc="0410000F">
      <w:start w:val="1"/>
      <w:numFmt w:val="decimal"/>
      <w:lvlText w:val="%1."/>
      <w:lvlJc w:val="left"/>
      <w:pPr>
        <w:ind w:left="4260" w:hanging="360"/>
      </w:pPr>
      <w:rPr>
        <w:rFonts w:hint="default"/>
      </w:rPr>
    </w:lvl>
    <w:lvl w:ilvl="1" w:tplc="04100019" w:tentative="1">
      <w:start w:val="1"/>
      <w:numFmt w:val="lowerLetter"/>
      <w:lvlText w:val="%2."/>
      <w:lvlJc w:val="left"/>
      <w:pPr>
        <w:ind w:left="4980" w:hanging="360"/>
      </w:pPr>
    </w:lvl>
    <w:lvl w:ilvl="2" w:tplc="0410001B" w:tentative="1">
      <w:start w:val="1"/>
      <w:numFmt w:val="lowerRoman"/>
      <w:lvlText w:val="%3."/>
      <w:lvlJc w:val="right"/>
      <w:pPr>
        <w:ind w:left="5700" w:hanging="180"/>
      </w:pPr>
    </w:lvl>
    <w:lvl w:ilvl="3" w:tplc="0410000F" w:tentative="1">
      <w:start w:val="1"/>
      <w:numFmt w:val="decimal"/>
      <w:lvlText w:val="%4."/>
      <w:lvlJc w:val="left"/>
      <w:pPr>
        <w:ind w:left="6420" w:hanging="360"/>
      </w:pPr>
    </w:lvl>
    <w:lvl w:ilvl="4" w:tplc="04100019" w:tentative="1">
      <w:start w:val="1"/>
      <w:numFmt w:val="lowerLetter"/>
      <w:lvlText w:val="%5."/>
      <w:lvlJc w:val="left"/>
      <w:pPr>
        <w:ind w:left="7140" w:hanging="360"/>
      </w:pPr>
    </w:lvl>
    <w:lvl w:ilvl="5" w:tplc="0410001B" w:tentative="1">
      <w:start w:val="1"/>
      <w:numFmt w:val="lowerRoman"/>
      <w:lvlText w:val="%6."/>
      <w:lvlJc w:val="right"/>
      <w:pPr>
        <w:ind w:left="7860" w:hanging="180"/>
      </w:pPr>
    </w:lvl>
    <w:lvl w:ilvl="6" w:tplc="0410000F" w:tentative="1">
      <w:start w:val="1"/>
      <w:numFmt w:val="decimal"/>
      <w:lvlText w:val="%7."/>
      <w:lvlJc w:val="left"/>
      <w:pPr>
        <w:ind w:left="8580" w:hanging="360"/>
      </w:pPr>
    </w:lvl>
    <w:lvl w:ilvl="7" w:tplc="04100019" w:tentative="1">
      <w:start w:val="1"/>
      <w:numFmt w:val="lowerLetter"/>
      <w:lvlText w:val="%8."/>
      <w:lvlJc w:val="left"/>
      <w:pPr>
        <w:ind w:left="9300" w:hanging="360"/>
      </w:pPr>
    </w:lvl>
    <w:lvl w:ilvl="8" w:tplc="0410001B" w:tentative="1">
      <w:start w:val="1"/>
      <w:numFmt w:val="lowerRoman"/>
      <w:lvlText w:val="%9."/>
      <w:lvlJc w:val="right"/>
      <w:pPr>
        <w:ind w:left="10020" w:hanging="180"/>
      </w:pPr>
    </w:lvl>
  </w:abstractNum>
  <w:abstractNum w:abstractNumId="1" w15:restartNumberingAfterBreak="0">
    <w:nsid w:val="0AEB0EDC"/>
    <w:multiLevelType w:val="hybridMultilevel"/>
    <w:tmpl w:val="A156D2F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CAA57A1"/>
    <w:multiLevelType w:val="hybridMultilevel"/>
    <w:tmpl w:val="007842C0"/>
    <w:lvl w:ilvl="0" w:tplc="EF4268B8">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D726641"/>
    <w:multiLevelType w:val="hybridMultilevel"/>
    <w:tmpl w:val="400C7416"/>
    <w:lvl w:ilvl="0" w:tplc="E1482EDA">
      <w:start w:val="1"/>
      <w:numFmt w:val="decimal"/>
      <w:lvlText w:val="Articolo %1."/>
      <w:lvlJc w:val="left"/>
      <w:pPr>
        <w:ind w:left="4260" w:hanging="360"/>
      </w:pPr>
      <w:rPr>
        <w:rFonts w:hint="default"/>
      </w:rPr>
    </w:lvl>
    <w:lvl w:ilvl="1" w:tplc="04100019" w:tentative="1">
      <w:start w:val="1"/>
      <w:numFmt w:val="lowerLetter"/>
      <w:lvlText w:val="%2."/>
      <w:lvlJc w:val="left"/>
      <w:pPr>
        <w:ind w:left="4980" w:hanging="360"/>
      </w:pPr>
    </w:lvl>
    <w:lvl w:ilvl="2" w:tplc="0410001B" w:tentative="1">
      <w:start w:val="1"/>
      <w:numFmt w:val="lowerRoman"/>
      <w:lvlText w:val="%3."/>
      <w:lvlJc w:val="right"/>
      <w:pPr>
        <w:ind w:left="5700" w:hanging="180"/>
      </w:pPr>
    </w:lvl>
    <w:lvl w:ilvl="3" w:tplc="0410000F" w:tentative="1">
      <w:start w:val="1"/>
      <w:numFmt w:val="decimal"/>
      <w:lvlText w:val="%4."/>
      <w:lvlJc w:val="left"/>
      <w:pPr>
        <w:ind w:left="6420" w:hanging="360"/>
      </w:pPr>
    </w:lvl>
    <w:lvl w:ilvl="4" w:tplc="04100019" w:tentative="1">
      <w:start w:val="1"/>
      <w:numFmt w:val="lowerLetter"/>
      <w:lvlText w:val="%5."/>
      <w:lvlJc w:val="left"/>
      <w:pPr>
        <w:ind w:left="7140" w:hanging="360"/>
      </w:pPr>
    </w:lvl>
    <w:lvl w:ilvl="5" w:tplc="0410001B" w:tentative="1">
      <w:start w:val="1"/>
      <w:numFmt w:val="lowerRoman"/>
      <w:lvlText w:val="%6."/>
      <w:lvlJc w:val="right"/>
      <w:pPr>
        <w:ind w:left="7860" w:hanging="180"/>
      </w:pPr>
    </w:lvl>
    <w:lvl w:ilvl="6" w:tplc="0410000F" w:tentative="1">
      <w:start w:val="1"/>
      <w:numFmt w:val="decimal"/>
      <w:lvlText w:val="%7."/>
      <w:lvlJc w:val="left"/>
      <w:pPr>
        <w:ind w:left="8580" w:hanging="360"/>
      </w:pPr>
    </w:lvl>
    <w:lvl w:ilvl="7" w:tplc="04100019" w:tentative="1">
      <w:start w:val="1"/>
      <w:numFmt w:val="lowerLetter"/>
      <w:lvlText w:val="%8."/>
      <w:lvlJc w:val="left"/>
      <w:pPr>
        <w:ind w:left="9300" w:hanging="360"/>
      </w:pPr>
    </w:lvl>
    <w:lvl w:ilvl="8" w:tplc="0410001B" w:tentative="1">
      <w:start w:val="1"/>
      <w:numFmt w:val="lowerRoman"/>
      <w:lvlText w:val="%9."/>
      <w:lvlJc w:val="right"/>
      <w:pPr>
        <w:ind w:left="10020" w:hanging="180"/>
      </w:pPr>
    </w:lvl>
  </w:abstractNum>
  <w:abstractNum w:abstractNumId="4" w15:restartNumberingAfterBreak="0">
    <w:nsid w:val="32005F7B"/>
    <w:multiLevelType w:val="multilevel"/>
    <w:tmpl w:val="D6180324"/>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744633"/>
    <w:multiLevelType w:val="multilevel"/>
    <w:tmpl w:val="0EC6430A"/>
    <w:lvl w:ilvl="0">
      <w:start w:val="1"/>
      <w:numFmt w:val="decimal"/>
      <w:lvlText w:val="5.%1."/>
      <w:lvlJc w:val="left"/>
      <w:pPr>
        <w:ind w:left="360" w:hanging="360"/>
      </w:pPr>
      <w:rPr>
        <w:rFonts w:hint="default"/>
      </w:r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EBC7115"/>
    <w:multiLevelType w:val="multilevel"/>
    <w:tmpl w:val="56D8067E"/>
    <w:lvl w:ilvl="0">
      <w:start w:val="1"/>
      <w:numFmt w:val="decimal"/>
      <w:lvlText w:val="4.%1."/>
      <w:lvlJc w:val="left"/>
      <w:pPr>
        <w:ind w:left="360" w:hanging="360"/>
      </w:pPr>
      <w:rPr>
        <w:rFonts w:hint="default"/>
      </w:r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4647F1"/>
    <w:multiLevelType w:val="multilevel"/>
    <w:tmpl w:val="F09406AC"/>
    <w:lvl w:ilvl="0">
      <w:start w:val="1"/>
      <w:numFmt w:val="decimal"/>
      <w:lvlText w:val="3.%1."/>
      <w:lvlJc w:val="left"/>
      <w:pPr>
        <w:ind w:left="360" w:hanging="360"/>
      </w:pPr>
      <w:rPr>
        <w:rFonts w:hint="default"/>
      </w:r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283A45"/>
    <w:multiLevelType w:val="multilevel"/>
    <w:tmpl w:val="43A8E9B2"/>
    <w:lvl w:ilvl="0">
      <w:start w:val="1"/>
      <w:numFmt w:val="decimal"/>
      <w:lvlText w:val="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34F494E"/>
    <w:multiLevelType w:val="multilevel"/>
    <w:tmpl w:val="80022988"/>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2371CCE"/>
    <w:multiLevelType w:val="hybridMultilevel"/>
    <w:tmpl w:val="86AE6050"/>
    <w:lvl w:ilvl="0" w:tplc="96D608FE">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6B21104B"/>
    <w:multiLevelType w:val="multilevel"/>
    <w:tmpl w:val="AEBCDF74"/>
    <w:lvl w:ilvl="0">
      <w:start w:val="1"/>
      <w:numFmt w:val="decimal"/>
      <w:lvlText w:val="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CDC0968"/>
    <w:multiLevelType w:val="multilevel"/>
    <w:tmpl w:val="3248497A"/>
    <w:lvl w:ilvl="0">
      <w:start w:val="1"/>
      <w:numFmt w:val="decimal"/>
      <w:lvlText w:val="2.%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B8E5B25"/>
    <w:multiLevelType w:val="multilevel"/>
    <w:tmpl w:val="3248497A"/>
    <w:lvl w:ilvl="0">
      <w:start w:val="1"/>
      <w:numFmt w:val="decimal"/>
      <w:lvlText w:val="2.%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F9A0CA7"/>
    <w:multiLevelType w:val="multilevel"/>
    <w:tmpl w:val="AEBCDF74"/>
    <w:lvl w:ilvl="0">
      <w:start w:val="1"/>
      <w:numFmt w:val="decimal"/>
      <w:lvlText w:val="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0"/>
  </w:num>
  <w:num w:numId="3">
    <w:abstractNumId w:val="2"/>
  </w:num>
  <w:num w:numId="4">
    <w:abstractNumId w:val="3"/>
  </w:num>
  <w:num w:numId="5">
    <w:abstractNumId w:val="0"/>
  </w:num>
  <w:num w:numId="6">
    <w:abstractNumId w:val="4"/>
  </w:num>
  <w:num w:numId="7">
    <w:abstractNumId w:val="9"/>
  </w:num>
  <w:num w:numId="8">
    <w:abstractNumId w:val="8"/>
  </w:num>
  <w:num w:numId="9">
    <w:abstractNumId w:val="13"/>
  </w:num>
  <w:num w:numId="10">
    <w:abstractNumId w:val="12"/>
  </w:num>
  <w:num w:numId="11">
    <w:abstractNumId w:val="14"/>
  </w:num>
  <w:num w:numId="12">
    <w:abstractNumId w:val="11"/>
  </w:num>
  <w:num w:numId="13">
    <w:abstractNumId w:val="7"/>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1A3"/>
    <w:rsid w:val="00021030"/>
    <w:rsid w:val="000252EF"/>
    <w:rsid w:val="000336FA"/>
    <w:rsid w:val="0005201D"/>
    <w:rsid w:val="00170F92"/>
    <w:rsid w:val="001737EB"/>
    <w:rsid w:val="001D7CFC"/>
    <w:rsid w:val="001F73AF"/>
    <w:rsid w:val="00223F4E"/>
    <w:rsid w:val="00361D08"/>
    <w:rsid w:val="00377725"/>
    <w:rsid w:val="004019FC"/>
    <w:rsid w:val="0041147F"/>
    <w:rsid w:val="004E1373"/>
    <w:rsid w:val="004F2E08"/>
    <w:rsid w:val="00557818"/>
    <w:rsid w:val="00561601"/>
    <w:rsid w:val="005C4E75"/>
    <w:rsid w:val="005D23E6"/>
    <w:rsid w:val="00611022"/>
    <w:rsid w:val="00624C23"/>
    <w:rsid w:val="00624FB2"/>
    <w:rsid w:val="00666195"/>
    <w:rsid w:val="00667FFC"/>
    <w:rsid w:val="006D31ED"/>
    <w:rsid w:val="006D4094"/>
    <w:rsid w:val="0070083E"/>
    <w:rsid w:val="00720D3E"/>
    <w:rsid w:val="00766B59"/>
    <w:rsid w:val="00822D4B"/>
    <w:rsid w:val="00833E7B"/>
    <w:rsid w:val="00850BD6"/>
    <w:rsid w:val="008928BD"/>
    <w:rsid w:val="00902813"/>
    <w:rsid w:val="00910955"/>
    <w:rsid w:val="009212B2"/>
    <w:rsid w:val="009C1309"/>
    <w:rsid w:val="009E7FDC"/>
    <w:rsid w:val="009F3922"/>
    <w:rsid w:val="00A713F7"/>
    <w:rsid w:val="00A87853"/>
    <w:rsid w:val="00A9059C"/>
    <w:rsid w:val="00AB0EE9"/>
    <w:rsid w:val="00AE09B2"/>
    <w:rsid w:val="00B10B25"/>
    <w:rsid w:val="00B157A5"/>
    <w:rsid w:val="00B41F64"/>
    <w:rsid w:val="00BA0C3E"/>
    <w:rsid w:val="00BB7A86"/>
    <w:rsid w:val="00BD390E"/>
    <w:rsid w:val="00BF746F"/>
    <w:rsid w:val="00C97B54"/>
    <w:rsid w:val="00CD5721"/>
    <w:rsid w:val="00CE6682"/>
    <w:rsid w:val="00D07BC8"/>
    <w:rsid w:val="00D200E3"/>
    <w:rsid w:val="00DA11E8"/>
    <w:rsid w:val="00DC1118"/>
    <w:rsid w:val="00DC396F"/>
    <w:rsid w:val="00DD5515"/>
    <w:rsid w:val="00DE1F3E"/>
    <w:rsid w:val="00DE312A"/>
    <w:rsid w:val="00DE6375"/>
    <w:rsid w:val="00E13392"/>
    <w:rsid w:val="00E34274"/>
    <w:rsid w:val="00E421A4"/>
    <w:rsid w:val="00EA5F18"/>
    <w:rsid w:val="00EA61E0"/>
    <w:rsid w:val="00EC1453"/>
    <w:rsid w:val="00EC7026"/>
    <w:rsid w:val="00EF5F3C"/>
    <w:rsid w:val="00F038C6"/>
    <w:rsid w:val="00F631A3"/>
    <w:rsid w:val="00F65A9E"/>
    <w:rsid w:val="00F76058"/>
    <w:rsid w:val="00F8322F"/>
    <w:rsid w:val="00F911C1"/>
    <w:rsid w:val="00FB4E2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42719"/>
  <w15:chartTrackingRefBased/>
  <w15:docId w15:val="{E465FAA2-E5FE-40B3-80BE-5B2F12AF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A5F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A5F18"/>
  </w:style>
  <w:style w:type="paragraph" w:styleId="Pidipagina">
    <w:name w:val="footer"/>
    <w:basedOn w:val="Normale"/>
    <w:link w:val="PidipaginaCarattere"/>
    <w:uiPriority w:val="99"/>
    <w:unhideWhenUsed/>
    <w:rsid w:val="00EA5F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A5F18"/>
  </w:style>
  <w:style w:type="table" w:styleId="Grigliatabella">
    <w:name w:val="Table Grid"/>
    <w:basedOn w:val="Tabellanormale"/>
    <w:rsid w:val="001737EB"/>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1737EB"/>
    <w:rPr>
      <w:color w:val="0000FF"/>
      <w:u w:val="single"/>
    </w:rPr>
  </w:style>
  <w:style w:type="paragraph" w:styleId="Paragrafoelenco">
    <w:name w:val="List Paragraph"/>
    <w:basedOn w:val="Normale"/>
    <w:uiPriority w:val="34"/>
    <w:qFormat/>
    <w:rsid w:val="004019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45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1789</Words>
  <Characters>10198</Characters>
  <Application>Microsoft Office Word</Application>
  <DocSecurity>0</DocSecurity>
  <Lines>84</Lines>
  <Paragraphs>23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Manager>Ignazio Enrico Pietro Porceddu</Manager>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Ignazio Porceddu</dc:creator>
  <cp:keywords/>
  <dc:description/>
  <cp:lastModifiedBy>Ignazio Porceddu</cp:lastModifiedBy>
  <cp:revision>2</cp:revision>
  <cp:lastPrinted>2021-03-24T17:25:00Z</cp:lastPrinted>
  <dcterms:created xsi:type="dcterms:W3CDTF">2025-11-24T12:15:00Z</dcterms:created>
  <dcterms:modified xsi:type="dcterms:W3CDTF">2025-11-24T12:15:00Z</dcterms:modified>
</cp:coreProperties>
</file>